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71C7F" w:rsidRDefault="00371C7F"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8127D">
        <w:rPr>
          <w:rFonts w:ascii="Arial" w:hAnsi="Arial" w:cs="Arial"/>
          <w:bCs w:val="0"/>
          <w:color w:val="000000" w:themeColor="text1"/>
          <w:sz w:val="20"/>
          <w:szCs w:val="20"/>
        </w:rPr>
        <w:t>031</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276"/>
        <w:gridCol w:w="1701"/>
        <w:gridCol w:w="1134"/>
        <w:gridCol w:w="2268"/>
      </w:tblGrid>
      <w:tr w:rsidR="00024E0B" w:rsidRPr="00622155" w:rsidTr="00857BB6">
        <w:trPr>
          <w:trHeight w:val="594"/>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6E3234" w:rsidRPr="007E5833" w:rsidTr="000043E1">
        <w:trPr>
          <w:trHeight w:val="705"/>
        </w:trPr>
        <w:tc>
          <w:tcPr>
            <w:tcW w:w="1235" w:type="dxa"/>
            <w:shd w:val="clear" w:color="auto" w:fill="auto"/>
            <w:noWrap/>
            <w:vAlign w:val="center"/>
          </w:tcPr>
          <w:p w:rsidR="006E3234" w:rsidRDefault="00B7662D" w:rsidP="000043E1">
            <w:pPr>
              <w:suppressAutoHyphens w:val="0"/>
              <w:jc w:val="center"/>
              <w:rPr>
                <w:rFonts w:ascii="Arial" w:hAnsi="Arial" w:cs="Arial"/>
                <w:color w:val="000000" w:themeColor="text1"/>
                <w:lang w:eastAsia="es-ES"/>
              </w:rPr>
            </w:pPr>
            <w:r>
              <w:rPr>
                <w:rFonts w:ascii="Arial" w:hAnsi="Arial" w:cs="Arial"/>
                <w:color w:val="000000" w:themeColor="text1"/>
                <w:lang w:eastAsia="es-ES"/>
              </w:rPr>
              <w:t>Profesional</w:t>
            </w:r>
          </w:p>
        </w:tc>
        <w:tc>
          <w:tcPr>
            <w:tcW w:w="1600" w:type="dxa"/>
            <w:vAlign w:val="center"/>
          </w:tcPr>
          <w:p w:rsidR="006E3234" w:rsidRDefault="00B7662D" w:rsidP="000043E1">
            <w:pPr>
              <w:suppressAutoHyphens w:val="0"/>
              <w:jc w:val="center"/>
              <w:rPr>
                <w:rFonts w:ascii="Arial" w:hAnsi="Arial" w:cs="Arial"/>
                <w:color w:val="000000"/>
              </w:rPr>
            </w:pPr>
            <w:r>
              <w:rPr>
                <w:rFonts w:ascii="Arial" w:hAnsi="Arial" w:cs="Arial"/>
                <w:color w:val="000000"/>
              </w:rPr>
              <w:t xml:space="preserve">Derecho </w:t>
            </w:r>
          </w:p>
        </w:tc>
        <w:tc>
          <w:tcPr>
            <w:tcW w:w="1276" w:type="dxa"/>
            <w:noWrap/>
            <w:vAlign w:val="center"/>
          </w:tcPr>
          <w:p w:rsidR="006E3234" w:rsidRPr="001A2D4C" w:rsidRDefault="006E3234" w:rsidP="000043E1">
            <w:pPr>
              <w:suppressAutoHyphens w:val="0"/>
              <w:jc w:val="center"/>
              <w:rPr>
                <w:rFonts w:ascii="Arial" w:hAnsi="Arial" w:cs="Arial"/>
                <w:color w:val="000000" w:themeColor="text1"/>
                <w:lang w:eastAsia="es-ES"/>
              </w:rPr>
            </w:pPr>
            <w:r>
              <w:rPr>
                <w:rFonts w:ascii="Arial" w:hAnsi="Arial" w:cs="Arial"/>
                <w:color w:val="000000" w:themeColor="text1"/>
                <w:lang w:eastAsia="es-ES"/>
              </w:rPr>
              <w:t>P2PRO-002</w:t>
            </w:r>
          </w:p>
        </w:tc>
        <w:tc>
          <w:tcPr>
            <w:tcW w:w="1701" w:type="dxa"/>
            <w:shd w:val="clear" w:color="auto" w:fill="auto"/>
            <w:vAlign w:val="center"/>
          </w:tcPr>
          <w:p w:rsidR="006E3234" w:rsidRPr="001A2D4C" w:rsidRDefault="00C8127D" w:rsidP="000043E1">
            <w:pPr>
              <w:suppressAutoHyphens w:val="0"/>
              <w:jc w:val="center"/>
              <w:rPr>
                <w:rFonts w:ascii="Arial" w:hAnsi="Arial" w:cs="Arial"/>
                <w:color w:val="000000" w:themeColor="text1"/>
                <w:lang w:val="es-MX"/>
              </w:rPr>
            </w:pPr>
            <w:r>
              <w:rPr>
                <w:rFonts w:ascii="Arial" w:hAnsi="Arial" w:cs="Arial"/>
                <w:color w:val="000000" w:themeColor="text1"/>
                <w:lang w:val="es-MX"/>
              </w:rPr>
              <w:t>S/. 5,112.00</w:t>
            </w:r>
          </w:p>
        </w:tc>
        <w:tc>
          <w:tcPr>
            <w:tcW w:w="1134" w:type="dxa"/>
            <w:noWrap/>
            <w:vAlign w:val="center"/>
          </w:tcPr>
          <w:p w:rsidR="006E3234" w:rsidRPr="001A2D4C" w:rsidRDefault="006E3234" w:rsidP="000043E1">
            <w:pPr>
              <w:jc w:val="center"/>
              <w:rPr>
                <w:rFonts w:ascii="Arial" w:hAnsi="Arial" w:cs="Arial"/>
                <w:color w:val="000000" w:themeColor="text1"/>
                <w:lang w:eastAsia="es-ES"/>
              </w:rPr>
            </w:pPr>
            <w:r>
              <w:rPr>
                <w:rFonts w:ascii="Arial" w:hAnsi="Arial" w:cs="Arial"/>
                <w:color w:val="000000" w:themeColor="text1"/>
                <w:lang w:eastAsia="es-ES"/>
              </w:rPr>
              <w:t>01</w:t>
            </w:r>
          </w:p>
        </w:tc>
        <w:tc>
          <w:tcPr>
            <w:tcW w:w="2268" w:type="dxa"/>
            <w:vAlign w:val="center"/>
          </w:tcPr>
          <w:p w:rsidR="006E3234" w:rsidRPr="00C8127D" w:rsidRDefault="00C8127D" w:rsidP="000043E1">
            <w:pPr>
              <w:jc w:val="center"/>
              <w:rPr>
                <w:rFonts w:ascii="Arial" w:hAnsi="Arial" w:cs="Arial"/>
              </w:rPr>
            </w:pPr>
            <w:r w:rsidRPr="00C8127D">
              <w:rPr>
                <w:rFonts w:ascii="Arial" w:hAnsi="Arial" w:cs="Arial"/>
              </w:rPr>
              <w:t>Oficina Asuntos Jurídicos-Gerencia</w:t>
            </w:r>
          </w:p>
        </w:tc>
      </w:tr>
      <w:tr w:rsidR="000043E1" w:rsidRPr="00622155" w:rsidTr="00261BAB">
        <w:trPr>
          <w:trHeight w:val="274"/>
        </w:trPr>
        <w:tc>
          <w:tcPr>
            <w:tcW w:w="5812" w:type="dxa"/>
            <w:gridSpan w:val="4"/>
            <w:shd w:val="clear" w:color="auto" w:fill="auto"/>
            <w:noWrap/>
            <w:vAlign w:val="center"/>
          </w:tcPr>
          <w:p w:rsidR="000043E1" w:rsidRPr="001A2D4C" w:rsidRDefault="000043E1" w:rsidP="000043E1">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0043E1" w:rsidRPr="001A2D4C" w:rsidRDefault="00C8127D" w:rsidP="000043E1">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371C7F">
        <w:rPr>
          <w:rFonts w:ascii="Arial" w:hAnsi="Arial" w:cs="Arial"/>
          <w:b/>
          <w:sz w:val="20"/>
          <w:szCs w:val="20"/>
        </w:rPr>
        <w:t xml:space="preserve">PROFESIONAL EN </w:t>
      </w:r>
      <w:r w:rsidR="00C8127D">
        <w:rPr>
          <w:rFonts w:ascii="Arial" w:hAnsi="Arial" w:cs="Arial"/>
          <w:b/>
          <w:sz w:val="20"/>
          <w:szCs w:val="20"/>
        </w:rPr>
        <w:t>DERECHO</w:t>
      </w:r>
      <w:r w:rsidR="00C75E6E">
        <w:rPr>
          <w:rFonts w:ascii="Arial" w:hAnsi="Arial" w:cs="Arial"/>
          <w:b/>
          <w:sz w:val="20"/>
          <w:szCs w:val="20"/>
        </w:rPr>
        <w:t xml:space="preserve"> </w:t>
      </w:r>
      <w:r w:rsidR="00613DCD" w:rsidRPr="008E42A8">
        <w:rPr>
          <w:rFonts w:ascii="Arial" w:hAnsi="Arial" w:cs="Arial"/>
          <w:b/>
          <w:sz w:val="20"/>
          <w:szCs w:val="20"/>
        </w:rPr>
        <w:t>(</w:t>
      </w:r>
      <w:r w:rsidR="00371C7F">
        <w:rPr>
          <w:rFonts w:ascii="Arial" w:hAnsi="Arial" w:cs="Arial"/>
          <w:b/>
          <w:sz w:val="20"/>
          <w:szCs w:val="20"/>
        </w:rPr>
        <w:t>P2PRO</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B12181" w:rsidRPr="00FE74CA" w:rsidTr="00B67D70">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Formación General</w:t>
            </w:r>
          </w:p>
        </w:tc>
        <w:tc>
          <w:tcPr>
            <w:tcW w:w="6480" w:type="dxa"/>
          </w:tcPr>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rPr>
            </w:pPr>
            <w:r w:rsidRPr="00B12181">
              <w:rPr>
                <w:rFonts w:ascii="Arial" w:hAnsi="Arial" w:cs="Arial"/>
              </w:rPr>
              <w:t xml:space="preserve">Presentar copia simple de Título Profesional Universitario en </w:t>
            </w:r>
            <w:r w:rsidR="00C8127D">
              <w:rPr>
                <w:rFonts w:ascii="Arial" w:hAnsi="Arial" w:cs="Arial"/>
              </w:rPr>
              <w:t>Derecho.</w:t>
            </w:r>
            <w:r w:rsidRPr="00B12181">
              <w:rPr>
                <w:rFonts w:ascii="Arial" w:hAnsi="Arial" w:cs="Arial"/>
              </w:rPr>
              <w:t xml:space="preserve"> </w:t>
            </w:r>
            <w:r w:rsidRPr="00B12181">
              <w:rPr>
                <w:rFonts w:ascii="Arial" w:hAnsi="Arial" w:cs="Arial"/>
                <w:b/>
              </w:rPr>
              <w:t>(Indispensable)</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rPr>
            </w:pPr>
            <w:r w:rsidRPr="00B12181">
              <w:rPr>
                <w:rFonts w:ascii="Arial" w:hAnsi="Arial" w:cs="Arial"/>
              </w:rPr>
              <w:t xml:space="preserve">Contar con colegiatura y habilitación profesional vigente. </w:t>
            </w:r>
            <w:r w:rsidRPr="00B12181">
              <w:rPr>
                <w:rFonts w:ascii="Arial" w:hAnsi="Arial" w:cs="Arial"/>
                <w:b/>
              </w:rPr>
              <w:t>(Indispensable)</w:t>
            </w:r>
          </w:p>
        </w:tc>
      </w:tr>
      <w:tr w:rsidR="00B12181" w:rsidRPr="00FE74CA" w:rsidTr="00B67D70">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Experiencia Laboral</w:t>
            </w:r>
          </w:p>
        </w:tc>
        <w:tc>
          <w:tcPr>
            <w:tcW w:w="6480" w:type="dxa"/>
          </w:tcPr>
          <w:p w:rsidR="00B12181" w:rsidRPr="00B12181" w:rsidRDefault="00B12181" w:rsidP="00B67D70">
            <w:pPr>
              <w:tabs>
                <w:tab w:val="num" w:pos="360"/>
              </w:tabs>
              <w:ind w:left="252"/>
              <w:jc w:val="both"/>
              <w:rPr>
                <w:rFonts w:ascii="Arial" w:hAnsi="Arial" w:cs="Arial"/>
              </w:rPr>
            </w:pPr>
            <w:r w:rsidRPr="00B12181">
              <w:rPr>
                <w:rFonts w:ascii="Arial" w:hAnsi="Arial" w:cs="Arial"/>
                <w:b/>
              </w:rPr>
              <w:t>EXPERIENCIA GENERAL</w:t>
            </w:r>
            <w:r w:rsidRPr="00B12181">
              <w:rPr>
                <w:rFonts w:ascii="Arial" w:hAnsi="Arial" w:cs="Arial"/>
              </w:rPr>
              <w:t>:</w:t>
            </w:r>
          </w:p>
          <w:p w:rsidR="00B12181" w:rsidRPr="00B12181" w:rsidRDefault="00B12181" w:rsidP="00B12181">
            <w:pPr>
              <w:numPr>
                <w:ilvl w:val="0"/>
                <w:numId w:val="30"/>
              </w:numPr>
              <w:tabs>
                <w:tab w:val="clear" w:pos="720"/>
              </w:tabs>
              <w:suppressAutoHyphens w:val="0"/>
              <w:ind w:left="252" w:hanging="240"/>
              <w:jc w:val="both"/>
              <w:rPr>
                <w:rFonts w:ascii="Arial" w:hAnsi="Arial" w:cs="Arial"/>
                <w:color w:val="000000"/>
                <w:lang w:val="es-MX"/>
              </w:rPr>
            </w:pPr>
            <w:r w:rsidRPr="00B12181">
              <w:rPr>
                <w:rFonts w:ascii="Arial" w:hAnsi="Arial" w:cs="Arial"/>
                <w:lang w:val="es-MX"/>
              </w:rPr>
              <w:t xml:space="preserve">Acreditar experiencia </w:t>
            </w:r>
            <w:r w:rsidRPr="00B12181">
              <w:rPr>
                <w:rFonts w:ascii="Arial" w:hAnsi="Arial" w:cs="Arial"/>
                <w:color w:val="000000"/>
                <w:lang w:val="es-MX"/>
              </w:rPr>
              <w:t>laboral mínima de tres (03) años en el sector público o privado.</w:t>
            </w:r>
          </w:p>
          <w:p w:rsidR="00B12181" w:rsidRPr="00B12181" w:rsidRDefault="00B12181" w:rsidP="00B67D70">
            <w:pPr>
              <w:tabs>
                <w:tab w:val="num" w:pos="360"/>
              </w:tabs>
              <w:ind w:left="252"/>
              <w:jc w:val="both"/>
              <w:rPr>
                <w:rFonts w:ascii="Arial" w:hAnsi="Arial" w:cs="Arial"/>
              </w:rPr>
            </w:pPr>
            <w:r w:rsidRPr="00B12181">
              <w:rPr>
                <w:rFonts w:ascii="Arial" w:hAnsi="Arial" w:cs="Arial"/>
                <w:b/>
              </w:rPr>
              <w:t>EXPERIENCIA ESPECÍFICA</w:t>
            </w:r>
            <w:r w:rsidRPr="00B12181">
              <w:rPr>
                <w:rFonts w:ascii="Arial" w:hAnsi="Arial" w:cs="Arial"/>
              </w:rPr>
              <w:t>:</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b/>
                <w:color w:val="000000"/>
              </w:rPr>
            </w:pPr>
            <w:r w:rsidRPr="00B12181">
              <w:rPr>
                <w:rFonts w:ascii="Arial" w:hAnsi="Arial" w:cs="Arial"/>
                <w:color w:val="000000"/>
              </w:rPr>
              <w:lastRenderedPageBreak/>
              <w:t>Acreditar dos (02) años en el desempeño de la profesión, con posterioridad a la obtención</w:t>
            </w:r>
            <w:r w:rsidRPr="00B12181">
              <w:rPr>
                <w:rFonts w:ascii="Arial" w:hAnsi="Arial" w:cs="Arial"/>
              </w:rPr>
              <w:t xml:space="preserve"> del título profesional. </w:t>
            </w:r>
            <w:r w:rsidRPr="00B12181">
              <w:rPr>
                <w:rFonts w:ascii="Arial" w:hAnsi="Arial" w:cs="Arial"/>
                <w:b/>
              </w:rPr>
              <w:t>(Indispensable)</w:t>
            </w:r>
          </w:p>
          <w:p w:rsidR="00B12181" w:rsidRPr="00B12181" w:rsidRDefault="00B12181" w:rsidP="00B67D70">
            <w:pPr>
              <w:tabs>
                <w:tab w:val="num" w:pos="360"/>
              </w:tabs>
              <w:ind w:left="252"/>
              <w:jc w:val="both"/>
              <w:rPr>
                <w:rFonts w:ascii="Arial" w:hAnsi="Arial" w:cs="Arial"/>
                <w:color w:val="000000"/>
              </w:rPr>
            </w:pPr>
            <w:r w:rsidRPr="00B12181">
              <w:rPr>
                <w:rFonts w:ascii="Arial" w:hAnsi="Arial" w:cs="Arial"/>
                <w:b/>
                <w:color w:val="000000"/>
              </w:rPr>
              <w:t>EXPERIENCIA EN EL SECTOR PÚBLICO</w:t>
            </w:r>
            <w:r w:rsidRPr="00B12181">
              <w:rPr>
                <w:rFonts w:ascii="Arial" w:hAnsi="Arial" w:cs="Arial"/>
                <w:color w:val="000000"/>
              </w:rPr>
              <w:t>:</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 xml:space="preserve">Acreditar experiencia laboral mínima de un (01) año en el sector público. </w:t>
            </w:r>
            <w:r w:rsidRPr="00B12181">
              <w:rPr>
                <w:rFonts w:ascii="Arial" w:hAnsi="Arial" w:cs="Arial"/>
                <w:b/>
                <w:color w:val="000000"/>
              </w:rPr>
              <w:t>(Indispensable)</w:t>
            </w:r>
          </w:p>
          <w:p w:rsidR="00B12181" w:rsidRPr="00B12181" w:rsidRDefault="00B12181" w:rsidP="00B67D70">
            <w:pPr>
              <w:ind w:left="252"/>
              <w:jc w:val="both"/>
              <w:rPr>
                <w:rFonts w:ascii="Arial" w:hAnsi="Arial" w:cs="Arial"/>
              </w:rPr>
            </w:pPr>
          </w:p>
          <w:p w:rsidR="00B12181" w:rsidRPr="00B12181" w:rsidRDefault="00B12181" w:rsidP="00B67D70">
            <w:pPr>
              <w:ind w:left="252"/>
              <w:jc w:val="both"/>
              <w:rPr>
                <w:rFonts w:ascii="Arial" w:hAnsi="Arial" w:cs="Arial"/>
                <w:lang w:val="es-MX"/>
              </w:rPr>
            </w:pPr>
            <w:r w:rsidRPr="00B1218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12181" w:rsidRPr="00B12181" w:rsidRDefault="00B12181" w:rsidP="00B67D70">
            <w:pPr>
              <w:ind w:left="252"/>
              <w:jc w:val="both"/>
              <w:rPr>
                <w:rFonts w:ascii="Arial" w:hAnsi="Arial" w:cs="Arial"/>
                <w:lang w:val="es-MX"/>
              </w:rPr>
            </w:pPr>
            <w:r w:rsidRPr="00B12181">
              <w:rPr>
                <w:rFonts w:ascii="Arial" w:hAnsi="Arial" w:cs="Arial"/>
              </w:rPr>
              <w:t>No se considerará como experiencia laboral: Trabajos Ad Hono</w:t>
            </w:r>
            <w:r>
              <w:rPr>
                <w:rFonts w:ascii="Arial" w:hAnsi="Arial" w:cs="Arial"/>
              </w:rPr>
              <w:t>rem, en domicilio, ni Pasantías, ni Practicas.</w:t>
            </w:r>
          </w:p>
        </w:tc>
      </w:tr>
      <w:tr w:rsidR="00B12181" w:rsidRPr="00FE74CA" w:rsidTr="00B67D70">
        <w:trPr>
          <w:trHeight w:val="345"/>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lastRenderedPageBreak/>
              <w:t>Capacitación</w:t>
            </w:r>
          </w:p>
        </w:tc>
        <w:tc>
          <w:tcPr>
            <w:tcW w:w="6480" w:type="dxa"/>
          </w:tcPr>
          <w:p w:rsidR="00B12181" w:rsidRPr="00C8127D" w:rsidRDefault="00B12181" w:rsidP="00C8127D">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Acreditar (*) actividades de capacitación y/o actualización afín a la profesión, co</w:t>
            </w:r>
            <w:r w:rsidR="00C8127D">
              <w:rPr>
                <w:rFonts w:ascii="Arial" w:hAnsi="Arial" w:cs="Arial"/>
                <w:color w:val="000000"/>
              </w:rPr>
              <w:t>mo mínimo de 200 horas</w:t>
            </w:r>
            <w:r w:rsidRPr="00B12181">
              <w:rPr>
                <w:rFonts w:ascii="Arial" w:hAnsi="Arial" w:cs="Arial"/>
                <w:color w:val="000000"/>
              </w:rPr>
              <w:t xml:space="preserve">, realizadas a partir del año 2014 a la fecha. </w:t>
            </w:r>
            <w:r w:rsidRPr="00C8127D">
              <w:rPr>
                <w:rFonts w:ascii="Arial" w:hAnsi="Arial" w:cs="Arial"/>
                <w:b/>
                <w:color w:val="000000"/>
              </w:rPr>
              <w:t>(Indispensable)</w:t>
            </w:r>
          </w:p>
        </w:tc>
      </w:tr>
      <w:tr w:rsidR="00B12181" w:rsidRPr="00FE74CA" w:rsidTr="00B67D70">
        <w:trPr>
          <w:trHeight w:val="308"/>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Conocimientos complementarios para el cargo</w:t>
            </w:r>
          </w:p>
        </w:tc>
        <w:tc>
          <w:tcPr>
            <w:tcW w:w="6480" w:type="dxa"/>
          </w:tcPr>
          <w:p w:rsidR="00B12181" w:rsidRPr="00B12181" w:rsidRDefault="00B12181" w:rsidP="00B12181">
            <w:pPr>
              <w:numPr>
                <w:ilvl w:val="0"/>
                <w:numId w:val="29"/>
              </w:numPr>
              <w:tabs>
                <w:tab w:val="clear" w:pos="720"/>
                <w:tab w:val="num" w:pos="252"/>
              </w:tabs>
              <w:suppressAutoHyphens w:val="0"/>
              <w:autoSpaceDE w:val="0"/>
              <w:autoSpaceDN w:val="0"/>
              <w:adjustRightInd w:val="0"/>
              <w:ind w:left="252" w:hanging="252"/>
              <w:jc w:val="both"/>
              <w:rPr>
                <w:rFonts w:ascii="Arial" w:hAnsi="Arial" w:cs="Arial"/>
              </w:rPr>
            </w:pPr>
            <w:r w:rsidRPr="00B12181">
              <w:rPr>
                <w:rFonts w:ascii="Arial" w:hAnsi="Arial" w:cs="Arial"/>
              </w:rPr>
              <w:t xml:space="preserve">Manejo de Ofimática: Word, Excel, Power Point, Internet a nivel Básico. </w:t>
            </w:r>
            <w:r w:rsidRPr="00B12181">
              <w:rPr>
                <w:rFonts w:ascii="Arial" w:hAnsi="Arial" w:cs="Arial"/>
                <w:b/>
              </w:rPr>
              <w:t>(Indispensable)</w:t>
            </w:r>
          </w:p>
          <w:p w:rsidR="00B12181" w:rsidRPr="00B12181" w:rsidRDefault="00B12181" w:rsidP="00B12181">
            <w:pPr>
              <w:numPr>
                <w:ilvl w:val="0"/>
                <w:numId w:val="29"/>
              </w:numPr>
              <w:tabs>
                <w:tab w:val="clear" w:pos="720"/>
                <w:tab w:val="num" w:pos="252"/>
              </w:tabs>
              <w:suppressAutoHyphens w:val="0"/>
              <w:autoSpaceDE w:val="0"/>
              <w:autoSpaceDN w:val="0"/>
              <w:adjustRightInd w:val="0"/>
              <w:ind w:left="252" w:hanging="252"/>
              <w:jc w:val="both"/>
              <w:rPr>
                <w:rFonts w:ascii="Arial" w:hAnsi="Arial" w:cs="Arial"/>
              </w:rPr>
            </w:pPr>
            <w:r w:rsidRPr="00B12181">
              <w:rPr>
                <w:rFonts w:ascii="Arial" w:hAnsi="Arial" w:cs="Arial"/>
              </w:rPr>
              <w:t xml:space="preserve">Manejo del idioma inglés a nivel básico. </w:t>
            </w:r>
            <w:r w:rsidRPr="00B12181">
              <w:rPr>
                <w:rFonts w:ascii="Arial" w:hAnsi="Arial" w:cs="Arial"/>
                <w:b/>
              </w:rPr>
              <w:t>(Indispensable)</w:t>
            </w:r>
          </w:p>
        </w:tc>
      </w:tr>
      <w:tr w:rsidR="00B12181" w:rsidRPr="006E11E8" w:rsidTr="00B67D70">
        <w:trPr>
          <w:trHeight w:val="150"/>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Habilidades o Competencias</w:t>
            </w:r>
          </w:p>
        </w:tc>
        <w:tc>
          <w:tcPr>
            <w:tcW w:w="6480" w:type="dxa"/>
          </w:tcPr>
          <w:p w:rsidR="00B12181" w:rsidRPr="00B12181" w:rsidRDefault="00B12181" w:rsidP="00B67D70">
            <w:pPr>
              <w:autoSpaceDE w:val="0"/>
              <w:autoSpaceDN w:val="0"/>
              <w:adjustRightInd w:val="0"/>
              <w:ind w:left="252"/>
              <w:jc w:val="both"/>
              <w:rPr>
                <w:rFonts w:ascii="Arial" w:hAnsi="Arial" w:cs="Arial"/>
              </w:rPr>
            </w:pPr>
            <w:r w:rsidRPr="00B12181">
              <w:rPr>
                <w:rFonts w:ascii="Arial" w:hAnsi="Arial" w:cs="Arial"/>
                <w:b/>
              </w:rPr>
              <w:t>GENÉRICAS:</w:t>
            </w:r>
            <w:r w:rsidRPr="00B12181">
              <w:rPr>
                <w:rFonts w:ascii="Arial" w:hAnsi="Arial" w:cs="Arial"/>
              </w:rPr>
              <w:t xml:space="preserve"> Actitud de servicio, ética e integridad, compromiso y responsabilidad, orientación a resultados, trabajo en equipo.</w:t>
            </w:r>
          </w:p>
          <w:p w:rsidR="00B12181" w:rsidRPr="00B12181" w:rsidRDefault="00B12181" w:rsidP="00B67D70">
            <w:pPr>
              <w:autoSpaceDE w:val="0"/>
              <w:autoSpaceDN w:val="0"/>
              <w:adjustRightInd w:val="0"/>
              <w:ind w:left="252"/>
              <w:jc w:val="both"/>
              <w:rPr>
                <w:rFonts w:ascii="Arial" w:hAnsi="Arial" w:cs="Arial"/>
              </w:rPr>
            </w:pPr>
            <w:r w:rsidRPr="00B12181">
              <w:rPr>
                <w:rFonts w:ascii="Arial" w:hAnsi="Arial" w:cs="Arial"/>
                <w:b/>
              </w:rPr>
              <w:t>ESPECÍFICAS:</w:t>
            </w:r>
            <w:r w:rsidRPr="00B12181">
              <w:rPr>
                <w:rFonts w:ascii="Arial" w:hAnsi="Arial" w:cs="Arial"/>
              </w:rPr>
              <w:t xml:space="preserve"> Pensamiento estratégico, comunicación efectiva, planificación y organización, capacidad de análisis y capacidad de respuesta al cambio.</w:t>
            </w:r>
          </w:p>
        </w:tc>
      </w:tr>
      <w:tr w:rsidR="00B12181" w:rsidRPr="006E11E8" w:rsidTr="00B67D70">
        <w:trPr>
          <w:trHeight w:val="471"/>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Motivo de Contratación</w:t>
            </w:r>
          </w:p>
        </w:tc>
        <w:tc>
          <w:tcPr>
            <w:tcW w:w="6480" w:type="dxa"/>
          </w:tcPr>
          <w:p w:rsidR="00B12181" w:rsidRPr="00B12181" w:rsidRDefault="00B12181" w:rsidP="00B12181">
            <w:pPr>
              <w:numPr>
                <w:ilvl w:val="0"/>
                <w:numId w:val="31"/>
              </w:numPr>
              <w:tabs>
                <w:tab w:val="clear" w:pos="720"/>
                <w:tab w:val="num" w:pos="252"/>
              </w:tabs>
              <w:suppressAutoHyphens w:val="0"/>
              <w:ind w:left="252" w:hanging="252"/>
              <w:jc w:val="both"/>
              <w:rPr>
                <w:rFonts w:ascii="Arial" w:hAnsi="Arial" w:cs="Arial"/>
              </w:rPr>
            </w:pPr>
            <w:r w:rsidRPr="00B12181">
              <w:rPr>
                <w:rFonts w:ascii="Arial" w:hAnsi="Arial" w:cs="Arial"/>
              </w:rPr>
              <w:t>Suplencia por desempeño de cargo de confianza.</w:t>
            </w:r>
          </w:p>
        </w:tc>
      </w:tr>
    </w:tbl>
    <w:p w:rsidR="00F77F43" w:rsidRPr="008E42A8" w:rsidRDefault="00F77F43" w:rsidP="00F77F43">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12181" w:rsidRDefault="00B12181" w:rsidP="00C75E6E">
      <w:pPr>
        <w:tabs>
          <w:tab w:val="left" w:pos="-1440"/>
        </w:tabs>
        <w:suppressAutoHyphens w:val="0"/>
        <w:ind w:left="308" w:hanging="28"/>
        <w:jc w:val="both"/>
        <w:rPr>
          <w:rFonts w:ascii="Arial" w:hAnsi="Arial" w:cs="Arial"/>
          <w:b/>
        </w:rPr>
      </w:pPr>
      <w:r>
        <w:rPr>
          <w:rFonts w:ascii="Arial" w:hAnsi="Arial" w:cs="Arial"/>
          <w:b/>
        </w:rPr>
        <w:t xml:space="preserve">PROFESIONAL EN </w:t>
      </w:r>
      <w:r w:rsidR="00C8127D">
        <w:rPr>
          <w:rFonts w:ascii="Arial" w:hAnsi="Arial" w:cs="Arial"/>
          <w:b/>
        </w:rPr>
        <w:t xml:space="preserve">DERECHO </w:t>
      </w:r>
      <w:r w:rsidRPr="008E42A8">
        <w:rPr>
          <w:rFonts w:ascii="Arial" w:hAnsi="Arial" w:cs="Arial"/>
          <w:b/>
        </w:rPr>
        <w:t>(</w:t>
      </w:r>
      <w:r>
        <w:rPr>
          <w:rFonts w:ascii="Arial" w:hAnsi="Arial" w:cs="Arial"/>
          <w:b/>
        </w:rPr>
        <w:t>P2PRO-001</w:t>
      </w:r>
      <w:r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Elaborar y Contestar demandas.</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Elaborar y presentar denuncias administrativas y de índole penal.</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Asistir a diligencias de los distintos procesos administrativos y judiciales.</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Asumir la representación de Seguro Social en calidad de apoderado judicial de ser el caso.</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 xml:space="preserve">Cumplir con los principios y deberes establecidos en el Código de Ética del Personal del Seguro Social de Salud (ESSALUD), así como no incurrir en las prohibiciones contenidas en él. </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ab/>
        <w:t>Mantener informado al jefe inmediato sobre las actividades que desarrolla.</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Registrar las actividades realizadas en los sistemas de información institucional y emitir   informes de su ejecución, cumpliendo estrictamente las disposiciones vigentes.</w:t>
      </w:r>
    </w:p>
    <w:p w:rsidR="00C8127D"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 xml:space="preserve">Velar por la seguridad, mantenimiento y operatividad de los bienes asignados para el cumplimiento de sus labores. </w:t>
      </w:r>
    </w:p>
    <w:p w:rsidR="00B12181" w:rsidRPr="008D2274" w:rsidRDefault="00C8127D" w:rsidP="00C8127D">
      <w:pPr>
        <w:pStyle w:val="Prrafodelista1"/>
        <w:numPr>
          <w:ilvl w:val="0"/>
          <w:numId w:val="38"/>
        </w:numPr>
        <w:tabs>
          <w:tab w:val="left" w:pos="-1440"/>
          <w:tab w:val="left" w:pos="567"/>
          <w:tab w:val="left" w:pos="851"/>
        </w:tabs>
        <w:contextualSpacing/>
        <w:jc w:val="both"/>
        <w:rPr>
          <w:rFonts w:ascii="Arial" w:hAnsi="Arial" w:cs="Arial"/>
        </w:rPr>
      </w:pPr>
      <w:r w:rsidRPr="008D2274">
        <w:rPr>
          <w:rFonts w:ascii="Arial" w:hAnsi="Arial" w:cs="Arial"/>
        </w:rPr>
        <w:tab/>
        <w:t>Realizar otras funciones que le asigne el jefe inmediato, en el ámbito de su compete</w:t>
      </w:r>
      <w:r w:rsidR="00B12181" w:rsidRPr="008D2274">
        <w:rPr>
          <w:rFonts w:ascii="Arial" w:hAnsi="Arial" w:cs="Arial"/>
        </w:rPr>
        <w:t>.</w:t>
      </w:r>
    </w:p>
    <w:p w:rsid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Default="00B34B7E" w:rsidP="00B34B7E">
      <w:pPr>
        <w:pStyle w:val="Sinespaciado"/>
        <w:ind w:left="567"/>
        <w:jc w:val="both"/>
        <w:rPr>
          <w:rFonts w:ascii="Arial" w:hAnsi="Arial" w:cs="Arial"/>
          <w:sz w:val="20"/>
          <w:szCs w:val="20"/>
        </w:rPr>
      </w:pPr>
    </w:p>
    <w:p w:rsidR="00C8127D" w:rsidRDefault="00C8127D" w:rsidP="00B34B7E">
      <w:pPr>
        <w:pStyle w:val="Sinespaciado"/>
        <w:ind w:left="567"/>
        <w:jc w:val="both"/>
        <w:rPr>
          <w:rFonts w:ascii="Arial" w:hAnsi="Arial" w:cs="Arial"/>
          <w:sz w:val="20"/>
          <w:szCs w:val="20"/>
        </w:rPr>
      </w:pPr>
    </w:p>
    <w:p w:rsidR="00C8127D" w:rsidRDefault="00C8127D" w:rsidP="00B34B7E">
      <w:pPr>
        <w:pStyle w:val="Sinespaciado"/>
        <w:ind w:left="567"/>
        <w:jc w:val="both"/>
        <w:rPr>
          <w:rFonts w:ascii="Arial" w:hAnsi="Arial" w:cs="Arial"/>
          <w:sz w:val="20"/>
          <w:szCs w:val="20"/>
        </w:rPr>
      </w:pPr>
    </w:p>
    <w:p w:rsidR="00C8127D" w:rsidRPr="002C549E" w:rsidRDefault="00C8127D"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Default="002B1894" w:rsidP="002B1894">
      <w:pPr>
        <w:pStyle w:val="Prrafodelista1"/>
        <w:ind w:left="0"/>
        <w:jc w:val="both"/>
        <w:rPr>
          <w:rFonts w:ascii="Arial" w:hAnsi="Arial" w:cs="Arial"/>
          <w:b/>
          <w:sz w:val="16"/>
          <w:szCs w:val="16"/>
          <w:highlight w:val="yellow"/>
          <w:vertAlign w:val="superscript"/>
        </w:rPr>
      </w:pPr>
    </w:p>
    <w:p w:rsidR="00B12181" w:rsidRDefault="00D0419E" w:rsidP="00B12181">
      <w:pPr>
        <w:tabs>
          <w:tab w:val="left" w:pos="-1440"/>
        </w:tabs>
        <w:suppressAutoHyphens w:val="0"/>
        <w:ind w:left="308" w:hanging="28"/>
        <w:jc w:val="both"/>
        <w:rPr>
          <w:rFonts w:ascii="Arial" w:hAnsi="Arial" w:cs="Arial"/>
          <w:b/>
        </w:rPr>
      </w:pPr>
      <w:r>
        <w:rPr>
          <w:rFonts w:ascii="Arial" w:hAnsi="Arial" w:cs="Arial"/>
          <w:b/>
        </w:rPr>
        <w:tab/>
        <w:t xml:space="preserve">   </w:t>
      </w:r>
      <w:r w:rsidR="00B12181">
        <w:rPr>
          <w:rFonts w:ascii="Arial" w:hAnsi="Arial" w:cs="Arial"/>
          <w:b/>
        </w:rPr>
        <w:t xml:space="preserve">PROFESIONAL </w:t>
      </w:r>
      <w:r w:rsidR="00B7662D">
        <w:rPr>
          <w:rFonts w:ascii="Arial" w:hAnsi="Arial" w:cs="Arial"/>
          <w:b/>
        </w:rPr>
        <w:t xml:space="preserve">EN DERECHO </w:t>
      </w:r>
      <w:r w:rsidR="00B12181" w:rsidRPr="008E42A8">
        <w:rPr>
          <w:rFonts w:ascii="Arial" w:hAnsi="Arial" w:cs="Arial"/>
          <w:b/>
        </w:rPr>
        <w:t>(</w:t>
      </w:r>
      <w:r w:rsidR="00B12181">
        <w:rPr>
          <w:rFonts w:ascii="Arial" w:hAnsi="Arial" w:cs="Arial"/>
          <w:b/>
        </w:rPr>
        <w:t>P2PRO-001</w:t>
      </w:r>
      <w:r w:rsidR="00B7662D">
        <w:rPr>
          <w:rFonts w:ascii="Arial" w:hAnsi="Arial" w:cs="Arial"/>
          <w:b/>
        </w:rPr>
        <w:t>)</w:t>
      </w:r>
    </w:p>
    <w:p w:rsidR="00B00CE6" w:rsidRDefault="00B00CE6"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6E3670" w:rsidRPr="002C549E" w:rsidTr="00E862A7">
        <w:trPr>
          <w:trHeight w:val="199"/>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6E3670" w:rsidRPr="002C549E" w:rsidTr="00E862A7">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6E3670" w:rsidRPr="002C549E" w:rsidTr="00131EFD">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6E3670" w:rsidRPr="002C549E" w:rsidTr="00131EFD">
        <w:trPr>
          <w:trHeight w:val="216"/>
        </w:trPr>
        <w:tc>
          <w:tcPr>
            <w:tcW w:w="4252" w:type="dxa"/>
            <w:tcBorders>
              <w:bottom w:val="single" w:sz="4" w:space="0" w:color="auto"/>
            </w:tcBorders>
          </w:tcPr>
          <w:p w:rsidR="006E3670" w:rsidRPr="00523CA2" w:rsidRDefault="006E3670" w:rsidP="006E3670">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6E3670" w:rsidRDefault="006E3670" w:rsidP="006E3670">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6E3670" w:rsidRPr="002C549E" w:rsidTr="00131EFD">
        <w:trPr>
          <w:trHeight w:val="153"/>
        </w:trPr>
        <w:tc>
          <w:tcPr>
            <w:tcW w:w="4252" w:type="dxa"/>
            <w:shd w:val="clear" w:color="auto" w:fill="F2F2F2" w:themeFill="background1" w:themeFillShade="F2"/>
          </w:tcPr>
          <w:p w:rsidR="006E3670" w:rsidRPr="00D11DDA" w:rsidRDefault="006E3670" w:rsidP="006E3670">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tcPr>
          <w:p w:rsidR="006E3670" w:rsidRPr="00D11DDA" w:rsidRDefault="006E3670" w:rsidP="006E3670">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0A140C" w:rsidRDefault="000A140C" w:rsidP="000A140C">
      <w:pPr>
        <w:pStyle w:val="Sinespaciado"/>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77E3F" w:rsidRPr="009550CB" w:rsidTr="00621627">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77E3F" w:rsidRPr="009550CB" w:rsidRDefault="00577E3F" w:rsidP="00621627">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77E3F" w:rsidRPr="009550CB" w:rsidRDefault="00577E3F" w:rsidP="00621627">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77E3F" w:rsidRPr="009550CB" w:rsidRDefault="00577E3F" w:rsidP="00621627">
            <w:pPr>
              <w:jc w:val="center"/>
              <w:rPr>
                <w:rFonts w:ascii="Arial" w:hAnsi="Arial" w:cs="Arial"/>
                <w:b/>
                <w:color w:val="000000"/>
                <w:lang w:val="es-PE"/>
              </w:rPr>
            </w:pPr>
            <w:r w:rsidRPr="009550CB">
              <w:rPr>
                <w:rFonts w:ascii="Arial" w:hAnsi="Arial" w:cs="Arial"/>
                <w:b/>
                <w:color w:val="000000"/>
                <w:lang w:val="es-PE"/>
              </w:rPr>
              <w:t>ÁREA RESPONSABLE</w:t>
            </w:r>
          </w:p>
        </w:tc>
      </w:tr>
      <w:tr w:rsidR="00577E3F" w:rsidRPr="009550CB" w:rsidTr="00621627">
        <w:trPr>
          <w:trHeight w:val="513"/>
        </w:trPr>
        <w:tc>
          <w:tcPr>
            <w:tcW w:w="559" w:type="dxa"/>
            <w:tcBorders>
              <w:top w:val="nil"/>
              <w:left w:val="single" w:sz="4" w:space="0" w:color="auto"/>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77E3F" w:rsidRPr="009550CB" w:rsidRDefault="00577E3F" w:rsidP="00621627">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Pr>
                <w:rFonts w:ascii="Arial" w:hAnsi="Arial" w:cs="Arial"/>
                <w:color w:val="000000"/>
                <w:lang w:val="es-PE"/>
              </w:rPr>
              <w:t>26 de noviembre del 2019</w:t>
            </w:r>
          </w:p>
        </w:tc>
        <w:tc>
          <w:tcPr>
            <w:tcW w:w="2052"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SGGI - ORRHH</w:t>
            </w:r>
          </w:p>
        </w:tc>
      </w:tr>
      <w:tr w:rsidR="00577E3F" w:rsidRPr="001548B5" w:rsidTr="00621627">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77E3F" w:rsidRPr="001548B5" w:rsidRDefault="00577E3F" w:rsidP="00621627">
            <w:pPr>
              <w:rPr>
                <w:rFonts w:ascii="Arial" w:hAnsi="Arial" w:cs="Arial"/>
                <w:b/>
                <w:color w:val="000000"/>
                <w:lang w:val="es-PE"/>
              </w:rPr>
            </w:pPr>
            <w:r w:rsidRPr="001548B5">
              <w:rPr>
                <w:rFonts w:ascii="Arial" w:hAnsi="Arial" w:cs="Arial"/>
                <w:b/>
                <w:color w:val="000000"/>
                <w:lang w:val="es-PE"/>
              </w:rPr>
              <w:t>CONVOCATORIA</w:t>
            </w:r>
          </w:p>
        </w:tc>
      </w:tr>
      <w:tr w:rsidR="00577E3F" w:rsidRPr="009550CB"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77E3F" w:rsidRPr="009550CB" w:rsidRDefault="00577E3F" w:rsidP="00621627">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77E3F" w:rsidRPr="009550CB" w:rsidRDefault="00096BDD" w:rsidP="00621627">
            <w:pPr>
              <w:jc w:val="center"/>
              <w:rPr>
                <w:rFonts w:ascii="Arial" w:hAnsi="Arial" w:cs="Arial"/>
                <w:color w:val="000000"/>
                <w:lang w:val="es-PE"/>
              </w:rPr>
            </w:pPr>
            <w:r>
              <w:rPr>
                <w:rFonts w:ascii="Arial" w:hAnsi="Arial" w:cs="Arial"/>
                <w:color w:val="000000"/>
                <w:lang w:val="es-PE"/>
              </w:rPr>
              <w:t>A partir del 26</w:t>
            </w:r>
            <w:bookmarkStart w:id="0" w:name="_GoBack"/>
            <w:bookmarkEnd w:id="0"/>
            <w:r w:rsidR="00577E3F">
              <w:rPr>
                <w:rFonts w:ascii="Arial" w:hAnsi="Arial" w:cs="Arial"/>
                <w:color w:val="000000"/>
                <w:lang w:val="es-PE"/>
              </w:rPr>
              <w:t xml:space="preserve"> de noviembre del 2019</w:t>
            </w:r>
          </w:p>
        </w:tc>
        <w:tc>
          <w:tcPr>
            <w:tcW w:w="2052"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ORRHH - SGGI – GCTIC</w:t>
            </w:r>
          </w:p>
        </w:tc>
      </w:tr>
      <w:tr w:rsidR="00577E3F" w:rsidRPr="009550CB" w:rsidTr="00621627">
        <w:trPr>
          <w:trHeight w:val="70"/>
        </w:trPr>
        <w:tc>
          <w:tcPr>
            <w:tcW w:w="559" w:type="dxa"/>
            <w:tcBorders>
              <w:top w:val="nil"/>
              <w:left w:val="single" w:sz="4" w:space="0" w:color="auto"/>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77E3F" w:rsidRPr="009550CB" w:rsidRDefault="00577E3F" w:rsidP="00621627">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77E3F" w:rsidRPr="009550CB" w:rsidRDefault="00096BDD" w:rsidP="00621627">
            <w:pPr>
              <w:jc w:val="both"/>
              <w:rPr>
                <w:rFonts w:ascii="Arial" w:hAnsi="Arial" w:cs="Arial"/>
                <w:color w:val="000000"/>
                <w:lang w:val="es-PE"/>
              </w:rPr>
            </w:pPr>
            <w:hyperlink r:id="rId10" w:history="1">
              <w:r w:rsidR="00577E3F" w:rsidRPr="009550CB">
                <w:rPr>
                  <w:rStyle w:val="Hipervnculo"/>
                  <w:rFonts w:ascii="Arial" w:hAnsi="Arial" w:cs="Arial"/>
                  <w:lang w:val="es-PE"/>
                </w:rPr>
                <w:t>http://ww1.essalud.gob.pe/sisep/</w:t>
              </w:r>
            </w:hyperlink>
            <w:r w:rsidR="00577E3F"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Pr>
                <w:rFonts w:ascii="Arial" w:hAnsi="Arial" w:cs="Arial"/>
                <w:color w:val="000000"/>
                <w:lang w:val="es-PE"/>
              </w:rPr>
              <w:t>Del 29 de noviembre al 02 de diciembre del 2019</w:t>
            </w:r>
          </w:p>
        </w:tc>
        <w:tc>
          <w:tcPr>
            <w:tcW w:w="2052"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ORRHH - SGGI – GCTIC</w:t>
            </w:r>
          </w:p>
        </w:tc>
      </w:tr>
      <w:tr w:rsidR="00577E3F" w:rsidRPr="001548B5" w:rsidTr="00621627">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77E3F" w:rsidRPr="001548B5" w:rsidRDefault="00577E3F" w:rsidP="00621627">
            <w:pPr>
              <w:rPr>
                <w:rFonts w:ascii="Arial" w:hAnsi="Arial" w:cs="Arial"/>
                <w:b/>
                <w:color w:val="000000"/>
                <w:lang w:val="es-PE"/>
              </w:rPr>
            </w:pPr>
            <w:r w:rsidRPr="001548B5">
              <w:rPr>
                <w:rFonts w:ascii="Arial" w:hAnsi="Arial" w:cs="Arial"/>
                <w:b/>
                <w:color w:val="000000"/>
                <w:lang w:val="es-PE"/>
              </w:rPr>
              <w:t>SELECCION</w:t>
            </w:r>
          </w:p>
        </w:tc>
      </w:tr>
      <w:tr w:rsidR="00577E3F" w:rsidRPr="009550CB"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77E3F" w:rsidRPr="009550CB" w:rsidRDefault="00577E3F" w:rsidP="00621627">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rPr>
            </w:pPr>
            <w:r>
              <w:rPr>
                <w:rFonts w:ascii="Arial" w:hAnsi="Arial" w:cs="Arial"/>
                <w:color w:val="000000"/>
                <w:lang w:val="es-PE"/>
              </w:rPr>
              <w:t>03 de diciembre del 2019</w:t>
            </w:r>
            <w:r w:rsidRPr="009550CB">
              <w:rPr>
                <w:rFonts w:ascii="Arial" w:hAnsi="Arial" w:cs="Arial"/>
                <w:color w:val="000000"/>
              </w:rPr>
              <w:t>,</w:t>
            </w:r>
          </w:p>
          <w:p w:rsidR="00577E3F" w:rsidRPr="009550CB" w:rsidRDefault="00577E3F" w:rsidP="00621627">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77E3F" w:rsidRPr="009550CB"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77E3F" w:rsidRPr="009550CB" w:rsidRDefault="00577E3F" w:rsidP="00621627">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rPr>
            </w:pPr>
            <w:r>
              <w:rPr>
                <w:rFonts w:ascii="Arial" w:hAnsi="Arial" w:cs="Arial"/>
                <w:color w:val="000000"/>
                <w:lang w:val="es-PE"/>
              </w:rPr>
              <w:t>04 de diciembre del 2019</w:t>
            </w:r>
            <w:r w:rsidRPr="009550CB">
              <w:rPr>
                <w:rFonts w:ascii="Arial" w:hAnsi="Arial" w:cs="Arial"/>
                <w:color w:val="000000"/>
              </w:rPr>
              <w:t>,</w:t>
            </w:r>
          </w:p>
          <w:p w:rsidR="00577E3F" w:rsidRPr="007D03B1" w:rsidRDefault="00577E3F" w:rsidP="00621627">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77E3F" w:rsidRPr="009550CB" w:rsidRDefault="00577E3F" w:rsidP="00621627">
            <w:pPr>
              <w:jc w:val="center"/>
              <w:rPr>
                <w:rFonts w:ascii="Arial" w:hAnsi="Arial" w:cs="Arial"/>
                <w:color w:val="000000"/>
                <w:lang w:val="es-PE"/>
              </w:rPr>
            </w:pPr>
            <w:r w:rsidRPr="009550CB">
              <w:rPr>
                <w:rFonts w:ascii="Arial" w:hAnsi="Arial" w:cs="Arial"/>
                <w:color w:val="000000"/>
                <w:lang w:val="es-PE"/>
              </w:rPr>
              <w:t>ORRHH</w:t>
            </w:r>
          </w:p>
        </w:tc>
      </w:tr>
      <w:tr w:rsidR="00577E3F" w:rsidRPr="00975579"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75579" w:rsidRDefault="00577E3F" w:rsidP="00621627">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77E3F" w:rsidRPr="00975579" w:rsidRDefault="00577E3F" w:rsidP="00621627">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04 de diciembre del 2019.</w:t>
            </w:r>
          </w:p>
          <w:p w:rsidR="00577E3F" w:rsidRPr="007D03B1" w:rsidRDefault="00577E3F" w:rsidP="00621627">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77E3F" w:rsidRPr="00975579" w:rsidRDefault="00577E3F" w:rsidP="00621627">
            <w:pPr>
              <w:jc w:val="center"/>
            </w:pPr>
            <w:r w:rsidRPr="00975579">
              <w:rPr>
                <w:rFonts w:ascii="Arial" w:hAnsi="Arial" w:cs="Arial"/>
                <w:color w:val="000000"/>
                <w:lang w:val="es-PE"/>
              </w:rPr>
              <w:t>ORRHH - SGGI – GCTIC</w:t>
            </w:r>
          </w:p>
        </w:tc>
      </w:tr>
      <w:tr w:rsidR="00577E3F" w:rsidRPr="00975579"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75579" w:rsidRDefault="00577E3F" w:rsidP="00621627">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77E3F" w:rsidRPr="00975579" w:rsidRDefault="00577E3F" w:rsidP="00621627">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05 de diciembre del 2019</w:t>
            </w:r>
          </w:p>
          <w:p w:rsidR="00577E3F" w:rsidRPr="007D03B1" w:rsidRDefault="00577E3F" w:rsidP="00621627">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77E3F" w:rsidRPr="00975579" w:rsidRDefault="00577E3F" w:rsidP="00621627">
            <w:pPr>
              <w:jc w:val="center"/>
            </w:pPr>
            <w:r w:rsidRPr="00975579">
              <w:rPr>
                <w:rFonts w:ascii="Arial" w:hAnsi="Arial" w:cs="Arial"/>
                <w:color w:val="000000"/>
                <w:lang w:val="es-PE"/>
              </w:rPr>
              <w:t>ORRHH</w:t>
            </w:r>
          </w:p>
        </w:tc>
      </w:tr>
      <w:tr w:rsidR="00577E3F" w:rsidRPr="00975579"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75579" w:rsidRDefault="00577E3F" w:rsidP="00621627">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77E3F" w:rsidRPr="00975579" w:rsidRDefault="00577E3F" w:rsidP="00621627">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05 de diciembre del 2019</w:t>
            </w:r>
          </w:p>
          <w:p w:rsidR="00577E3F" w:rsidRPr="00975579" w:rsidRDefault="00577E3F" w:rsidP="00621627">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77E3F" w:rsidRPr="00975579" w:rsidRDefault="00577E3F" w:rsidP="00621627">
            <w:pPr>
              <w:jc w:val="center"/>
            </w:pPr>
            <w:r w:rsidRPr="00975579">
              <w:rPr>
                <w:rFonts w:ascii="Arial" w:hAnsi="Arial" w:cs="Arial"/>
                <w:color w:val="000000"/>
                <w:lang w:val="es-PE"/>
              </w:rPr>
              <w:t>ORRHH - SGGI – GCTIC</w:t>
            </w:r>
          </w:p>
        </w:tc>
      </w:tr>
      <w:tr w:rsidR="00577E3F" w:rsidRPr="00975579"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75579" w:rsidRDefault="00577E3F" w:rsidP="00621627">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77E3F" w:rsidRPr="00975579" w:rsidRDefault="00577E3F" w:rsidP="00621627">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06 de diciembre del 2019</w:t>
            </w:r>
          </w:p>
          <w:p w:rsidR="00577E3F" w:rsidRPr="00975579" w:rsidRDefault="00577E3F" w:rsidP="00621627">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77E3F" w:rsidRPr="00975579" w:rsidRDefault="00577E3F" w:rsidP="00621627">
            <w:pPr>
              <w:jc w:val="center"/>
            </w:pPr>
            <w:r w:rsidRPr="00975579">
              <w:rPr>
                <w:rFonts w:ascii="Arial" w:hAnsi="Arial" w:cs="Arial"/>
                <w:color w:val="000000"/>
                <w:lang w:val="es-PE"/>
              </w:rPr>
              <w:t>ORRHH</w:t>
            </w:r>
          </w:p>
        </w:tc>
      </w:tr>
      <w:tr w:rsidR="00577E3F" w:rsidRPr="00975579"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975579" w:rsidRDefault="00577E3F" w:rsidP="00621627">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77E3F" w:rsidRPr="00975579" w:rsidRDefault="00577E3F" w:rsidP="00621627">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77E3F" w:rsidRPr="009C0458" w:rsidRDefault="00577E3F" w:rsidP="00621627">
            <w:pPr>
              <w:jc w:val="center"/>
              <w:rPr>
                <w:rFonts w:ascii="Arial" w:hAnsi="Arial" w:cs="Arial"/>
                <w:color w:val="000000"/>
                <w:lang w:val="es-PE"/>
              </w:rPr>
            </w:pPr>
            <w:r w:rsidRPr="009C0458">
              <w:rPr>
                <w:rFonts w:ascii="Arial" w:hAnsi="Arial" w:cs="Arial"/>
                <w:color w:val="000000"/>
                <w:lang w:val="es-PE"/>
              </w:rPr>
              <w:t xml:space="preserve">Desde el </w:t>
            </w:r>
            <w:r>
              <w:rPr>
                <w:rFonts w:ascii="Arial" w:hAnsi="Arial" w:cs="Arial"/>
                <w:color w:val="000000"/>
                <w:lang w:val="es-PE"/>
              </w:rPr>
              <w:t>09 de diciembre del 2019</w:t>
            </w:r>
          </w:p>
        </w:tc>
        <w:tc>
          <w:tcPr>
            <w:tcW w:w="2052" w:type="dxa"/>
            <w:tcBorders>
              <w:top w:val="nil"/>
              <w:left w:val="nil"/>
              <w:bottom w:val="single" w:sz="4" w:space="0" w:color="auto"/>
              <w:right w:val="single" w:sz="4" w:space="0" w:color="auto"/>
            </w:tcBorders>
            <w:noWrap/>
            <w:vAlign w:val="center"/>
          </w:tcPr>
          <w:p w:rsidR="00577E3F" w:rsidRPr="00975579" w:rsidRDefault="00577E3F" w:rsidP="00621627">
            <w:pPr>
              <w:jc w:val="center"/>
            </w:pPr>
            <w:r w:rsidRPr="00975579">
              <w:rPr>
                <w:rFonts w:ascii="Arial" w:hAnsi="Arial" w:cs="Arial"/>
                <w:color w:val="000000"/>
                <w:lang w:val="es-PE"/>
              </w:rPr>
              <w:t>ORRHH</w:t>
            </w:r>
          </w:p>
        </w:tc>
      </w:tr>
      <w:tr w:rsidR="00577E3F" w:rsidRPr="00E009F5"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09 de diciembre del 2019</w:t>
            </w:r>
          </w:p>
          <w:p w:rsidR="00577E3F" w:rsidRPr="009C0458" w:rsidRDefault="00577E3F" w:rsidP="00621627">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 xml:space="preserve">en las marquesinas informativas </w:t>
            </w:r>
            <w:r w:rsidRPr="009C0458">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77E3F" w:rsidRPr="00E009F5" w:rsidRDefault="00577E3F" w:rsidP="00621627">
            <w:pPr>
              <w:jc w:val="center"/>
            </w:pPr>
            <w:r w:rsidRPr="00E009F5">
              <w:rPr>
                <w:rFonts w:ascii="Arial" w:hAnsi="Arial" w:cs="Arial"/>
                <w:color w:val="000000"/>
                <w:lang w:val="es-PE"/>
              </w:rPr>
              <w:t>ORRHH - SGGI – GCTIC</w:t>
            </w:r>
          </w:p>
        </w:tc>
      </w:tr>
      <w:tr w:rsidR="00577E3F" w:rsidRPr="00E009F5"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10 de diciembre del 2019</w:t>
            </w:r>
          </w:p>
          <w:p w:rsidR="00577E3F" w:rsidRPr="009C0458" w:rsidRDefault="00577E3F" w:rsidP="00621627">
            <w:pPr>
              <w:jc w:val="center"/>
              <w:rPr>
                <w:rFonts w:ascii="Arial" w:hAnsi="Arial" w:cs="Arial"/>
                <w:color w:val="000000"/>
                <w:lang w:val="es-PE"/>
              </w:rPr>
            </w:pPr>
            <w:r w:rsidRPr="009C0458">
              <w:rPr>
                <w:rFonts w:ascii="Arial" w:hAnsi="Arial" w:cs="Arial"/>
                <w:color w:val="000000"/>
                <w:lang w:val="es-PE"/>
              </w:rPr>
              <w:t xml:space="preserve">a las 09:00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77E3F" w:rsidRPr="00E009F5" w:rsidRDefault="00577E3F" w:rsidP="00621627">
            <w:pPr>
              <w:jc w:val="center"/>
            </w:pPr>
            <w:r w:rsidRPr="00E009F5">
              <w:rPr>
                <w:rFonts w:ascii="Arial" w:hAnsi="Arial" w:cs="Arial"/>
                <w:color w:val="000000"/>
                <w:lang w:val="es-PE"/>
              </w:rPr>
              <w:t>ORRHH</w:t>
            </w:r>
          </w:p>
        </w:tc>
      </w:tr>
      <w:tr w:rsidR="00577E3F" w:rsidRPr="00E009F5"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10 de diciembre del 2019</w:t>
            </w:r>
          </w:p>
          <w:p w:rsidR="00577E3F" w:rsidRPr="009C0458" w:rsidRDefault="00577E3F" w:rsidP="00621627">
            <w:pPr>
              <w:jc w:val="center"/>
              <w:rPr>
                <w:rFonts w:ascii="Arial" w:hAnsi="Arial" w:cs="Arial"/>
                <w:color w:val="000000"/>
                <w:lang w:val="es-PE"/>
              </w:rPr>
            </w:pPr>
            <w:r w:rsidRPr="009C0458">
              <w:rPr>
                <w:rFonts w:ascii="Arial" w:hAnsi="Arial" w:cs="Arial"/>
                <w:color w:val="000000"/>
                <w:lang w:val="es-PE"/>
              </w:rPr>
              <w:t xml:space="preserve">a las 10:00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77E3F" w:rsidRPr="00E009F5" w:rsidRDefault="00577E3F" w:rsidP="00621627">
            <w:pPr>
              <w:jc w:val="center"/>
            </w:pPr>
            <w:r w:rsidRPr="00E009F5">
              <w:rPr>
                <w:rFonts w:ascii="Arial" w:hAnsi="Arial" w:cs="Arial"/>
                <w:color w:val="000000"/>
                <w:lang w:val="es-PE"/>
              </w:rPr>
              <w:t>ORRHH</w:t>
            </w:r>
          </w:p>
        </w:tc>
      </w:tr>
      <w:tr w:rsidR="00577E3F" w:rsidRPr="00E009F5"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577E3F" w:rsidRDefault="00577E3F" w:rsidP="00621627">
            <w:pPr>
              <w:jc w:val="center"/>
              <w:rPr>
                <w:rFonts w:ascii="Arial" w:hAnsi="Arial" w:cs="Arial"/>
                <w:color w:val="000000"/>
                <w:lang w:val="es-PE"/>
              </w:rPr>
            </w:pPr>
            <w:r>
              <w:rPr>
                <w:rFonts w:ascii="Arial" w:hAnsi="Arial" w:cs="Arial"/>
                <w:color w:val="000000"/>
                <w:lang w:val="es-PE"/>
              </w:rPr>
              <w:t>10 de diciembre del 2019</w:t>
            </w:r>
          </w:p>
          <w:p w:rsidR="00577E3F" w:rsidRPr="009C0458" w:rsidRDefault="00577E3F" w:rsidP="00621627">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77E3F" w:rsidRPr="00E009F5" w:rsidRDefault="00577E3F" w:rsidP="00621627">
            <w:pPr>
              <w:jc w:val="center"/>
            </w:pPr>
            <w:r w:rsidRPr="00E009F5">
              <w:rPr>
                <w:rFonts w:ascii="Arial" w:hAnsi="Arial" w:cs="Arial"/>
                <w:color w:val="000000"/>
                <w:lang w:val="es-PE"/>
              </w:rPr>
              <w:t>ORRHH - SGGI – GCTIC</w:t>
            </w:r>
          </w:p>
        </w:tc>
      </w:tr>
      <w:tr w:rsidR="00577E3F" w:rsidRPr="00E009F5" w:rsidTr="00621627">
        <w:trPr>
          <w:trHeight w:val="300"/>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77E3F" w:rsidRPr="009C0458" w:rsidRDefault="00577E3F" w:rsidP="00621627">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p>
        </w:tc>
      </w:tr>
      <w:tr w:rsidR="00577E3F" w:rsidRPr="009C0458" w:rsidTr="00621627">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77E3F" w:rsidRPr="009C0458" w:rsidRDefault="00577E3F" w:rsidP="00621627">
            <w:pPr>
              <w:rPr>
                <w:rFonts w:ascii="Arial" w:hAnsi="Arial" w:cs="Arial"/>
                <w:b/>
                <w:color w:val="000000"/>
                <w:lang w:val="es-PE"/>
              </w:rPr>
            </w:pPr>
            <w:r w:rsidRPr="009C0458">
              <w:rPr>
                <w:rFonts w:ascii="Arial" w:hAnsi="Arial" w:cs="Arial"/>
                <w:b/>
                <w:color w:val="000000"/>
                <w:lang w:val="es-PE"/>
              </w:rPr>
              <w:t>SUSCRIPCIÓN Y REGISTRO DEL CONTRATO</w:t>
            </w:r>
          </w:p>
        </w:tc>
      </w:tr>
      <w:tr w:rsidR="00577E3F" w:rsidRPr="00E009F5" w:rsidTr="00621627">
        <w:trPr>
          <w:trHeight w:val="397"/>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77E3F" w:rsidRPr="009C0458" w:rsidRDefault="00577E3F" w:rsidP="00621627">
            <w:pPr>
              <w:jc w:val="center"/>
              <w:rPr>
                <w:rFonts w:ascii="Arial" w:hAnsi="Arial" w:cs="Arial"/>
                <w:color w:val="000000"/>
                <w:lang w:val="es-PE"/>
              </w:rPr>
            </w:pPr>
            <w:r w:rsidRPr="009C0458">
              <w:rPr>
                <w:rFonts w:ascii="Arial" w:hAnsi="Arial" w:cs="Arial"/>
                <w:color w:val="000000"/>
                <w:lang w:val="es-PE"/>
              </w:rPr>
              <w:t xml:space="preserve">A partir del </w:t>
            </w:r>
            <w:r>
              <w:rPr>
                <w:rFonts w:ascii="Arial" w:hAnsi="Arial" w:cs="Arial"/>
                <w:color w:val="000000"/>
                <w:lang w:val="es-PE"/>
              </w:rPr>
              <w:t>11 de diciembre del 2019</w:t>
            </w:r>
          </w:p>
        </w:tc>
        <w:tc>
          <w:tcPr>
            <w:tcW w:w="2052" w:type="dxa"/>
            <w:tcBorders>
              <w:top w:val="nil"/>
              <w:left w:val="nil"/>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ORRHH</w:t>
            </w:r>
          </w:p>
        </w:tc>
      </w:tr>
      <w:tr w:rsidR="00577E3F" w:rsidRPr="00E009F5" w:rsidTr="00621627">
        <w:trPr>
          <w:trHeight w:val="417"/>
        </w:trPr>
        <w:tc>
          <w:tcPr>
            <w:tcW w:w="559" w:type="dxa"/>
            <w:tcBorders>
              <w:top w:val="nil"/>
              <w:left w:val="single" w:sz="4" w:space="0" w:color="auto"/>
              <w:bottom w:val="single" w:sz="4" w:space="0" w:color="auto"/>
              <w:right w:val="single" w:sz="4" w:space="0" w:color="auto"/>
            </w:tcBorders>
            <w:noWrap/>
            <w:vAlign w:val="center"/>
          </w:tcPr>
          <w:p w:rsidR="00577E3F" w:rsidRPr="00E009F5" w:rsidRDefault="00577E3F" w:rsidP="00621627">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77E3F" w:rsidRPr="00E009F5" w:rsidRDefault="00577E3F" w:rsidP="00621627">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77E3F" w:rsidRPr="00E009F5" w:rsidRDefault="00577E3F" w:rsidP="00621627">
            <w:pPr>
              <w:jc w:val="center"/>
              <w:rPr>
                <w:rFonts w:ascii="Arial" w:hAnsi="Arial" w:cs="Arial"/>
                <w:color w:val="000000"/>
                <w:lang w:val="es-PE"/>
              </w:rPr>
            </w:pPr>
          </w:p>
        </w:tc>
      </w:tr>
    </w:tbl>
    <w:p w:rsidR="00577E3F" w:rsidRDefault="00577E3F" w:rsidP="000A140C">
      <w:pPr>
        <w:pStyle w:val="Sinespaciado"/>
        <w:rPr>
          <w:rFonts w:ascii="Arial" w:hAnsi="Arial" w:cs="Arial"/>
          <w:b/>
          <w:sz w:val="20"/>
          <w:szCs w:val="20"/>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B12181" w:rsidRDefault="00B12181" w:rsidP="00B12181">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Default="00E02D29" w:rsidP="00E02D29">
      <w:pPr>
        <w:pStyle w:val="Sinespaciado"/>
        <w:ind w:left="567"/>
        <w:jc w:val="both"/>
        <w:rPr>
          <w:rFonts w:ascii="Arial" w:hAnsi="Arial" w:cs="Arial"/>
          <w:sz w:val="20"/>
          <w:szCs w:val="20"/>
        </w:rPr>
      </w:pPr>
    </w:p>
    <w:p w:rsidR="00793817" w:rsidRDefault="00793817" w:rsidP="00E02D29">
      <w:pPr>
        <w:pStyle w:val="Sinespaciado"/>
        <w:ind w:left="567"/>
        <w:jc w:val="both"/>
        <w:rPr>
          <w:rFonts w:ascii="Arial" w:hAnsi="Arial" w:cs="Arial"/>
          <w:sz w:val="20"/>
          <w:szCs w:val="20"/>
        </w:rPr>
      </w:pPr>
    </w:p>
    <w:p w:rsidR="0023493D" w:rsidRDefault="0023493D" w:rsidP="00E02D29">
      <w:pPr>
        <w:pStyle w:val="Sinespaciado"/>
        <w:ind w:left="567"/>
        <w:jc w:val="both"/>
        <w:rPr>
          <w:rFonts w:ascii="Arial" w:hAnsi="Arial" w:cs="Arial"/>
          <w:sz w:val="20"/>
          <w:szCs w:val="20"/>
        </w:rPr>
      </w:pPr>
    </w:p>
    <w:p w:rsidR="0023493D" w:rsidRDefault="0023493D" w:rsidP="00E02D29">
      <w:pPr>
        <w:pStyle w:val="Sinespaciado"/>
        <w:ind w:left="567"/>
        <w:jc w:val="both"/>
        <w:rPr>
          <w:rFonts w:ascii="Arial" w:hAnsi="Arial" w:cs="Arial"/>
          <w:sz w:val="20"/>
          <w:szCs w:val="20"/>
        </w:rPr>
      </w:pPr>
    </w:p>
    <w:p w:rsidR="0023493D" w:rsidRDefault="0023493D" w:rsidP="00E02D29">
      <w:pPr>
        <w:pStyle w:val="Sinespaciado"/>
        <w:ind w:left="567"/>
        <w:jc w:val="both"/>
        <w:rPr>
          <w:rFonts w:ascii="Arial" w:hAnsi="Arial" w:cs="Arial"/>
          <w:sz w:val="20"/>
          <w:szCs w:val="20"/>
        </w:rPr>
      </w:pPr>
    </w:p>
    <w:p w:rsidR="00793817" w:rsidRPr="002C549E" w:rsidRDefault="00793817" w:rsidP="00E02D29">
      <w:pPr>
        <w:pStyle w:val="Sinespaciado"/>
        <w:ind w:left="567"/>
        <w:jc w:val="both"/>
        <w:rPr>
          <w:rFonts w:ascii="Arial" w:hAnsi="Arial" w:cs="Arial"/>
          <w:sz w:val="20"/>
          <w:szCs w:val="20"/>
        </w:rPr>
      </w:pPr>
    </w:p>
    <w:p w:rsidR="009A0F52"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793817" w:rsidRPr="002C549E" w:rsidRDefault="00793817" w:rsidP="00793817">
      <w:pPr>
        <w:pStyle w:val="Sinespaciado"/>
        <w:ind w:left="567"/>
        <w:jc w:val="both"/>
        <w:rPr>
          <w:rFonts w:ascii="Arial" w:hAnsi="Arial" w:cs="Arial"/>
          <w:sz w:val="20"/>
          <w:szCs w:val="20"/>
        </w:rPr>
      </w:pP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8F79D5" w:rsidRPr="008F79D5" w:rsidRDefault="0023493D"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577E3F">
        <w:rPr>
          <w:rFonts w:ascii="Arial" w:hAnsi="Arial" w:cs="Arial"/>
          <w:sz w:val="20"/>
          <w:szCs w:val="20"/>
        </w:rPr>
        <w:t>26</w:t>
      </w:r>
      <w:r w:rsidR="00F65CB8">
        <w:rPr>
          <w:rFonts w:ascii="Arial" w:hAnsi="Arial" w:cs="Arial"/>
          <w:sz w:val="20"/>
          <w:szCs w:val="20"/>
        </w:rPr>
        <w:t xml:space="preserve"> de noviembre </w:t>
      </w:r>
      <w:r w:rsidR="005B446E" w:rsidRPr="002C549E">
        <w:rPr>
          <w:rFonts w:ascii="Arial" w:hAnsi="Arial" w:cs="Arial"/>
          <w:sz w:val="20"/>
          <w:szCs w:val="20"/>
        </w:rPr>
        <w:t>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B5" w:rsidRDefault="007307B5" w:rsidP="000728DD">
      <w:r>
        <w:separator/>
      </w:r>
    </w:p>
  </w:endnote>
  <w:endnote w:type="continuationSeparator" w:id="0">
    <w:p w:rsidR="007307B5" w:rsidRDefault="007307B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B5" w:rsidRDefault="007307B5" w:rsidP="000728DD">
      <w:r>
        <w:separator/>
      </w:r>
    </w:p>
  </w:footnote>
  <w:footnote w:type="continuationSeparator" w:id="0">
    <w:p w:rsidR="007307B5" w:rsidRDefault="007307B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DD36E33"/>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56955AE8"/>
    <w:multiLevelType w:val="hybridMultilevel"/>
    <w:tmpl w:val="695E9B54"/>
    <w:lvl w:ilvl="0" w:tplc="0C0A0017">
      <w:start w:val="1"/>
      <w:numFmt w:val="lowerLetter"/>
      <w:lvlText w:val="%1)"/>
      <w:lvlJc w:val="left"/>
      <w:pPr>
        <w:tabs>
          <w:tab w:val="num" w:pos="720"/>
        </w:tabs>
        <w:ind w:left="720" w:hanging="360"/>
      </w:pPr>
      <w:rPr>
        <w:rFonts w:hint="default"/>
      </w:rPr>
    </w:lvl>
    <w:lvl w:ilvl="1" w:tplc="0C0A0019">
      <w:start w:val="1"/>
      <w:numFmt w:val="decimal"/>
      <w:lvlText w:val="%2."/>
      <w:lvlJc w:val="left"/>
      <w:pPr>
        <w:tabs>
          <w:tab w:val="num" w:pos="1980"/>
        </w:tabs>
        <w:ind w:left="1980" w:hanging="360"/>
      </w:pPr>
    </w:lvl>
    <w:lvl w:ilvl="2" w:tplc="0C0A001B">
      <w:start w:val="1"/>
      <w:numFmt w:val="decimal"/>
      <w:lvlText w:val="%3."/>
      <w:lvlJc w:val="left"/>
      <w:pPr>
        <w:tabs>
          <w:tab w:val="num" w:pos="2700"/>
        </w:tabs>
        <w:ind w:left="2700" w:hanging="360"/>
      </w:pPr>
    </w:lvl>
    <w:lvl w:ilvl="3" w:tplc="0C0A000F">
      <w:start w:val="1"/>
      <w:numFmt w:val="decimal"/>
      <w:lvlText w:val="%4."/>
      <w:lvlJc w:val="left"/>
      <w:pPr>
        <w:tabs>
          <w:tab w:val="num" w:pos="3420"/>
        </w:tabs>
        <w:ind w:left="3420" w:hanging="360"/>
      </w:pPr>
    </w:lvl>
    <w:lvl w:ilvl="4" w:tplc="0C0A0019">
      <w:start w:val="1"/>
      <w:numFmt w:val="decimal"/>
      <w:lvlText w:val="%5."/>
      <w:lvlJc w:val="left"/>
      <w:pPr>
        <w:tabs>
          <w:tab w:val="num" w:pos="4140"/>
        </w:tabs>
        <w:ind w:left="4140" w:hanging="360"/>
      </w:pPr>
    </w:lvl>
    <w:lvl w:ilvl="5" w:tplc="0C0A001B">
      <w:start w:val="1"/>
      <w:numFmt w:val="decimal"/>
      <w:lvlText w:val="%6."/>
      <w:lvlJc w:val="left"/>
      <w:pPr>
        <w:tabs>
          <w:tab w:val="num" w:pos="4860"/>
        </w:tabs>
        <w:ind w:left="4860" w:hanging="360"/>
      </w:pPr>
    </w:lvl>
    <w:lvl w:ilvl="6" w:tplc="0C0A000F">
      <w:start w:val="1"/>
      <w:numFmt w:val="decimal"/>
      <w:lvlText w:val="%7."/>
      <w:lvlJc w:val="left"/>
      <w:pPr>
        <w:tabs>
          <w:tab w:val="num" w:pos="5580"/>
        </w:tabs>
        <w:ind w:left="5580" w:hanging="360"/>
      </w:pPr>
    </w:lvl>
    <w:lvl w:ilvl="7" w:tplc="0C0A0019">
      <w:start w:val="1"/>
      <w:numFmt w:val="decimal"/>
      <w:lvlText w:val="%8."/>
      <w:lvlJc w:val="left"/>
      <w:pPr>
        <w:tabs>
          <w:tab w:val="num" w:pos="6300"/>
        </w:tabs>
        <w:ind w:left="6300" w:hanging="360"/>
      </w:pPr>
    </w:lvl>
    <w:lvl w:ilvl="8" w:tplc="0C0A001B">
      <w:start w:val="1"/>
      <w:numFmt w:val="decimal"/>
      <w:lvlText w:val="%9."/>
      <w:lvlJc w:val="left"/>
      <w:pPr>
        <w:tabs>
          <w:tab w:val="num" w:pos="7020"/>
        </w:tabs>
        <w:ind w:left="7020" w:hanging="360"/>
      </w:p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5"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0"/>
  </w:num>
  <w:num w:numId="4">
    <w:abstractNumId w:val="24"/>
  </w:num>
  <w:num w:numId="5">
    <w:abstractNumId w:val="33"/>
  </w:num>
  <w:num w:numId="6">
    <w:abstractNumId w:val="15"/>
  </w:num>
  <w:num w:numId="7">
    <w:abstractNumId w:val="17"/>
  </w:num>
  <w:num w:numId="8">
    <w:abstractNumId w:val="7"/>
  </w:num>
  <w:num w:numId="9">
    <w:abstractNumId w:val="16"/>
  </w:num>
  <w:num w:numId="10">
    <w:abstractNumId w:val="28"/>
  </w:num>
  <w:num w:numId="11">
    <w:abstractNumId w:val="13"/>
  </w:num>
  <w:num w:numId="12">
    <w:abstractNumId w:val="12"/>
  </w:num>
  <w:num w:numId="13">
    <w:abstractNumId w:val="23"/>
  </w:num>
  <w:num w:numId="14">
    <w:abstractNumId w:val="21"/>
  </w:num>
  <w:num w:numId="15">
    <w:abstractNumId w:val="38"/>
  </w:num>
  <w:num w:numId="16">
    <w:abstractNumId w:val="14"/>
  </w:num>
  <w:num w:numId="17">
    <w:abstractNumId w:val="34"/>
  </w:num>
  <w:num w:numId="18">
    <w:abstractNumId w:val="4"/>
  </w:num>
  <w:num w:numId="19">
    <w:abstractNumId w:val="26"/>
  </w:num>
  <w:num w:numId="20">
    <w:abstractNumId w:val="36"/>
  </w:num>
  <w:num w:numId="21">
    <w:abstractNumId w:val="2"/>
  </w:num>
  <w:num w:numId="22">
    <w:abstractNumId w:val="10"/>
  </w:num>
  <w:num w:numId="23">
    <w:abstractNumId w:val="39"/>
  </w:num>
  <w:num w:numId="24">
    <w:abstractNumId w:val="27"/>
  </w:num>
  <w:num w:numId="25">
    <w:abstractNumId w:val="31"/>
  </w:num>
  <w:num w:numId="26">
    <w:abstractNumId w:val="22"/>
  </w:num>
  <w:num w:numId="27">
    <w:abstractNumId w:val="11"/>
  </w:num>
  <w:num w:numId="28">
    <w:abstractNumId w:val="1"/>
  </w:num>
  <w:num w:numId="29">
    <w:abstractNumId w:val="19"/>
  </w:num>
  <w:num w:numId="30">
    <w:abstractNumId w:val="37"/>
  </w:num>
  <w:num w:numId="31">
    <w:abstractNumId w:val="9"/>
  </w:num>
  <w:num w:numId="32">
    <w:abstractNumId w:val="8"/>
  </w:num>
  <w:num w:numId="33">
    <w:abstractNumId w:val="35"/>
  </w:num>
  <w:num w:numId="34">
    <w:abstractNumId w:val="30"/>
  </w:num>
  <w:num w:numId="35">
    <w:abstractNumId w:val="6"/>
  </w:num>
  <w:num w:numId="36">
    <w:abstractNumId w:val="18"/>
  </w:num>
  <w:num w:numId="37">
    <w:abstractNumId w:val="32"/>
  </w:num>
  <w:num w:numId="38">
    <w:abstractNumId w:val="25"/>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43E1"/>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6BDD"/>
    <w:rsid w:val="00097763"/>
    <w:rsid w:val="000A140C"/>
    <w:rsid w:val="000A67C5"/>
    <w:rsid w:val="000A7A68"/>
    <w:rsid w:val="000B41AB"/>
    <w:rsid w:val="000C3217"/>
    <w:rsid w:val="000E52D1"/>
    <w:rsid w:val="000E6010"/>
    <w:rsid w:val="000E62A0"/>
    <w:rsid w:val="000E7200"/>
    <w:rsid w:val="000E75A4"/>
    <w:rsid w:val="000E7E27"/>
    <w:rsid w:val="000F3739"/>
    <w:rsid w:val="000F4621"/>
    <w:rsid w:val="000F6CCD"/>
    <w:rsid w:val="00105D82"/>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D2A20"/>
    <w:rsid w:val="001D6012"/>
    <w:rsid w:val="001D7F25"/>
    <w:rsid w:val="001F3995"/>
    <w:rsid w:val="001F451B"/>
    <w:rsid w:val="001F4B6E"/>
    <w:rsid w:val="001F795D"/>
    <w:rsid w:val="0020348E"/>
    <w:rsid w:val="00215853"/>
    <w:rsid w:val="00215AB5"/>
    <w:rsid w:val="002168DA"/>
    <w:rsid w:val="00233DCC"/>
    <w:rsid w:val="0023493D"/>
    <w:rsid w:val="00241787"/>
    <w:rsid w:val="00241B00"/>
    <w:rsid w:val="00242689"/>
    <w:rsid w:val="00242B6A"/>
    <w:rsid w:val="00261BAB"/>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71C7F"/>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1A69"/>
    <w:rsid w:val="0041298E"/>
    <w:rsid w:val="004156AF"/>
    <w:rsid w:val="00416750"/>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773D4"/>
    <w:rsid w:val="00577E3F"/>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C19D0"/>
    <w:rsid w:val="006D0AE2"/>
    <w:rsid w:val="006D3BDA"/>
    <w:rsid w:val="006D474A"/>
    <w:rsid w:val="006D6718"/>
    <w:rsid w:val="006D7435"/>
    <w:rsid w:val="006E0332"/>
    <w:rsid w:val="006E1474"/>
    <w:rsid w:val="006E3234"/>
    <w:rsid w:val="006E3670"/>
    <w:rsid w:val="006E48EE"/>
    <w:rsid w:val="006E4DAC"/>
    <w:rsid w:val="00703502"/>
    <w:rsid w:val="007038D8"/>
    <w:rsid w:val="00703B78"/>
    <w:rsid w:val="00704BED"/>
    <w:rsid w:val="00710EFB"/>
    <w:rsid w:val="00716F55"/>
    <w:rsid w:val="00726758"/>
    <w:rsid w:val="007307B5"/>
    <w:rsid w:val="00731F76"/>
    <w:rsid w:val="0073291A"/>
    <w:rsid w:val="00733C0C"/>
    <w:rsid w:val="007342EC"/>
    <w:rsid w:val="00736D7E"/>
    <w:rsid w:val="00737B96"/>
    <w:rsid w:val="00750DCF"/>
    <w:rsid w:val="007518E8"/>
    <w:rsid w:val="0075344F"/>
    <w:rsid w:val="00756F1A"/>
    <w:rsid w:val="00761C1C"/>
    <w:rsid w:val="00770175"/>
    <w:rsid w:val="00772E9D"/>
    <w:rsid w:val="00780761"/>
    <w:rsid w:val="007917DC"/>
    <w:rsid w:val="0079217A"/>
    <w:rsid w:val="007929B7"/>
    <w:rsid w:val="007931B3"/>
    <w:rsid w:val="00793817"/>
    <w:rsid w:val="00797B16"/>
    <w:rsid w:val="007B1187"/>
    <w:rsid w:val="007B690F"/>
    <w:rsid w:val="007C74BB"/>
    <w:rsid w:val="007D3897"/>
    <w:rsid w:val="007D5F48"/>
    <w:rsid w:val="007D7BAA"/>
    <w:rsid w:val="007E2740"/>
    <w:rsid w:val="007E5833"/>
    <w:rsid w:val="007E648F"/>
    <w:rsid w:val="007E6611"/>
    <w:rsid w:val="007F21D2"/>
    <w:rsid w:val="007F5905"/>
    <w:rsid w:val="00806E3B"/>
    <w:rsid w:val="00810D3E"/>
    <w:rsid w:val="00816DAA"/>
    <w:rsid w:val="00824EB8"/>
    <w:rsid w:val="008539CB"/>
    <w:rsid w:val="00856559"/>
    <w:rsid w:val="00857BB6"/>
    <w:rsid w:val="008602AD"/>
    <w:rsid w:val="008749A5"/>
    <w:rsid w:val="00881383"/>
    <w:rsid w:val="0088564B"/>
    <w:rsid w:val="00896D8E"/>
    <w:rsid w:val="008A1AC9"/>
    <w:rsid w:val="008B10C1"/>
    <w:rsid w:val="008B2A6A"/>
    <w:rsid w:val="008C4C44"/>
    <w:rsid w:val="008D2274"/>
    <w:rsid w:val="008E2956"/>
    <w:rsid w:val="008E42A8"/>
    <w:rsid w:val="008E431F"/>
    <w:rsid w:val="008F0414"/>
    <w:rsid w:val="008F373A"/>
    <w:rsid w:val="008F79D5"/>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7662D"/>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27D"/>
    <w:rsid w:val="00C81CD2"/>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419E"/>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65CB8"/>
    <w:rsid w:val="00F77F43"/>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7ECC6D"/>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 w:type="paragraph" w:styleId="Lista">
    <w:name w:val="List"/>
    <w:basedOn w:val="Textoindependiente"/>
    <w:rsid w:val="00C8127D"/>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C8E2-2FA8-4B9F-A7B1-4C3F9D42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6</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458</cp:revision>
  <cp:lastPrinted>2017-03-31T22:22:00Z</cp:lastPrinted>
  <dcterms:created xsi:type="dcterms:W3CDTF">2016-02-19T19:52:00Z</dcterms:created>
  <dcterms:modified xsi:type="dcterms:W3CDTF">2019-11-25T21:11:00Z</dcterms:modified>
</cp:coreProperties>
</file>