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3F6101">
        <w:rPr>
          <w:rFonts w:ascii="Arial" w:eastAsia="Arial" w:hAnsi="Arial" w:cs="Arial"/>
          <w:b/>
          <w:color w:val="000000"/>
        </w:rPr>
        <w:t>ASISTENCIAL</w:t>
      </w:r>
      <w:r>
        <w:rPr>
          <w:rFonts w:ascii="Arial" w:eastAsia="Arial" w:hAnsi="Arial" w:cs="Arial"/>
          <w:b/>
          <w:color w:val="000000"/>
        </w:rPr>
        <w:t xml:space="preserve"> TACNA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DE PROCESO: P.S. 00</w:t>
      </w:r>
      <w:r w:rsidR="00204A29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>-CAS-RATAC-2021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los siguientes servicios CAS Nuevos para la Red Asistencial Tacna, destinados a la prevención, control, diagnóstico y tratamiento del Coronavirus (COVID-19):</w:t>
      </w:r>
    </w:p>
    <w:p w:rsidR="004A4EF6" w:rsidRDefault="004A4EF6">
      <w:pPr>
        <w:pStyle w:val="Normal1"/>
        <w:rPr>
          <w:highlight w:val="yellow"/>
        </w:rPr>
      </w:pPr>
    </w:p>
    <w:tbl>
      <w:tblPr>
        <w:tblStyle w:val="a"/>
        <w:tblW w:w="80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1560"/>
        <w:gridCol w:w="1275"/>
        <w:gridCol w:w="1560"/>
      </w:tblGrid>
      <w:tr w:rsidR="00204A29" w:rsidTr="00204A29">
        <w:trPr>
          <w:trHeight w:val="602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:rsidR="00204A29" w:rsidRDefault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04A29" w:rsidRDefault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04A29" w:rsidRDefault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204A29" w:rsidRDefault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4A29" w:rsidRDefault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LUGAR DE LABORES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4A29" w:rsidRDefault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204A29" w:rsidTr="00204A29">
        <w:trPr>
          <w:trHeight w:val="560"/>
        </w:trPr>
        <w:tc>
          <w:tcPr>
            <w:tcW w:w="1417" w:type="dxa"/>
            <w:vAlign w:val="center"/>
          </w:tcPr>
          <w:p w:rsidR="00204A29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134" w:type="dxa"/>
            <w:vAlign w:val="center"/>
          </w:tcPr>
          <w:p w:rsidR="00204A29" w:rsidRPr="004B0E2F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0E2F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34" w:type="dxa"/>
            <w:vAlign w:val="center"/>
          </w:tcPr>
          <w:p w:rsidR="00204A29" w:rsidRPr="004B0E2F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0E2F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735AD5" w:rsidRPr="004B0E2F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204A29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04A29" w:rsidRPr="00F516CB" w:rsidRDefault="00204A29" w:rsidP="00E02EE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E3FAC">
              <w:rPr>
                <w:rFonts w:ascii="Arial" w:eastAsia="Arial" w:hAnsi="Arial" w:cs="Arial"/>
                <w:sz w:val="18"/>
                <w:szCs w:val="18"/>
                <w:lang w:val="en-US"/>
              </w:rPr>
              <w:t>Hos</w:t>
            </w:r>
            <w:r w:rsidR="00D81B8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pital III Daniel </w:t>
            </w:r>
            <w:proofErr w:type="spellStart"/>
            <w:r w:rsidR="00D81B80">
              <w:rPr>
                <w:rFonts w:ascii="Arial" w:eastAsia="Arial" w:hAnsi="Arial" w:cs="Arial"/>
                <w:sz w:val="18"/>
                <w:szCs w:val="18"/>
                <w:lang w:val="en-US"/>
              </w:rPr>
              <w:t>Alcides</w:t>
            </w:r>
            <w:proofErr w:type="spellEnd"/>
            <w:r w:rsidR="00D81B8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E02EE7">
              <w:rPr>
                <w:rFonts w:ascii="Arial" w:eastAsia="Arial" w:hAnsi="Arial" w:cs="Arial"/>
                <w:sz w:val="18"/>
                <w:szCs w:val="18"/>
                <w:lang w:val="en-US"/>
              </w:rPr>
              <w:t>Carrió</w:t>
            </w:r>
            <w:r w:rsidR="00E02EE7" w:rsidRPr="009E3FA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204A29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Red Asistencial Tacna </w:t>
            </w:r>
          </w:p>
        </w:tc>
      </w:tr>
      <w:tr w:rsidR="00204A29" w:rsidTr="00204A29">
        <w:trPr>
          <w:trHeight w:val="568"/>
        </w:trPr>
        <w:tc>
          <w:tcPr>
            <w:tcW w:w="1417" w:type="dxa"/>
            <w:vAlign w:val="center"/>
          </w:tcPr>
          <w:p w:rsidR="00204A29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134" w:type="dxa"/>
            <w:vAlign w:val="center"/>
          </w:tcPr>
          <w:p w:rsidR="00204A29" w:rsidRPr="004B0E2F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0E2F"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4" w:type="dxa"/>
            <w:vAlign w:val="center"/>
          </w:tcPr>
          <w:p w:rsidR="00204A29" w:rsidRPr="004B0E2F" w:rsidRDefault="00735AD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0E2F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vAlign w:val="center"/>
          </w:tcPr>
          <w:p w:rsidR="00204A29" w:rsidRDefault="00204A29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04A29" w:rsidRDefault="00204A29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204A29" w:rsidRDefault="00204A29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04A29" w:rsidTr="00204A29">
        <w:trPr>
          <w:trHeight w:val="568"/>
        </w:trPr>
        <w:tc>
          <w:tcPr>
            <w:tcW w:w="1417" w:type="dxa"/>
            <w:vAlign w:val="center"/>
          </w:tcPr>
          <w:p w:rsidR="00204A29" w:rsidRDefault="00204A29" w:rsidP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134" w:type="dxa"/>
            <w:vAlign w:val="center"/>
          </w:tcPr>
          <w:p w:rsidR="00204A29" w:rsidRPr="004B0E2F" w:rsidRDefault="00204A29" w:rsidP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0E2F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P1ME-003</w:t>
            </w:r>
          </w:p>
        </w:tc>
        <w:tc>
          <w:tcPr>
            <w:tcW w:w="1134" w:type="dxa"/>
            <w:vAlign w:val="center"/>
          </w:tcPr>
          <w:p w:rsidR="00204A29" w:rsidRPr="004B0E2F" w:rsidRDefault="00735AD5" w:rsidP="00204A2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0E2F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vAlign w:val="center"/>
          </w:tcPr>
          <w:p w:rsidR="00204A29" w:rsidRDefault="00204A29" w:rsidP="00204A29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04A29" w:rsidRDefault="00204A29" w:rsidP="00204A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Villa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Essalud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Tacna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204A29" w:rsidRDefault="00204A29" w:rsidP="00204A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04A29" w:rsidTr="00735AD5">
        <w:trPr>
          <w:trHeight w:val="297"/>
        </w:trPr>
        <w:tc>
          <w:tcPr>
            <w:tcW w:w="8080" w:type="dxa"/>
            <w:gridSpan w:val="6"/>
            <w:shd w:val="clear" w:color="auto" w:fill="C6D9F1" w:themeFill="text2" w:themeFillTint="33"/>
            <w:vAlign w:val="center"/>
          </w:tcPr>
          <w:p w:rsidR="00204A29" w:rsidRPr="004B0E2F" w:rsidRDefault="00204A29" w:rsidP="00204A29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0E2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            TOTAL                </w:t>
            </w:r>
            <w:r w:rsidR="00735AD5" w:rsidRPr="004B0E2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09</w:t>
            </w:r>
          </w:p>
        </w:tc>
      </w:tr>
    </w:tbl>
    <w:p w:rsidR="004A4EF6" w:rsidRDefault="004A4EF6">
      <w:pPr>
        <w:pStyle w:val="Normal1"/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Tacna.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Unidad de Recursos Humanos de la Red Asistencial Tacna.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9E5B27" w:rsidRDefault="009E5B27" w:rsidP="00763F73">
      <w:pPr>
        <w:jc w:val="both"/>
        <w:rPr>
          <w:rFonts w:ascii="Arial" w:eastAsia="Arial" w:hAnsi="Arial" w:cs="Arial"/>
          <w:b/>
          <w:color w:val="000000"/>
        </w:rPr>
      </w:pPr>
    </w:p>
    <w:p w:rsidR="004A4EF6" w:rsidRDefault="00763F73" w:rsidP="00A22335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</w:t>
      </w:r>
      <w:r w:rsidR="00D626E2">
        <w:rPr>
          <w:rFonts w:ascii="Arial" w:eastAsia="Arial" w:hAnsi="Arial" w:cs="Arial"/>
          <w:b/>
        </w:rPr>
        <w:t xml:space="preserve">MÉDICO GENERAL </w:t>
      </w:r>
      <w:r w:rsidR="00592601">
        <w:rPr>
          <w:rFonts w:ascii="Arial" w:eastAsia="Arial" w:hAnsi="Arial" w:cs="Arial"/>
          <w:b/>
          <w:color w:val="000000"/>
        </w:rPr>
        <w:t>(P1ME-00</w:t>
      </w:r>
      <w:r w:rsidR="00A22335">
        <w:rPr>
          <w:rFonts w:ascii="Arial" w:eastAsia="Arial" w:hAnsi="Arial" w:cs="Arial"/>
          <w:b/>
          <w:color w:val="000000"/>
        </w:rPr>
        <w:t>1</w:t>
      </w:r>
      <w:r w:rsidR="00D626E2">
        <w:rPr>
          <w:rFonts w:ascii="Arial" w:eastAsia="Arial" w:hAnsi="Arial" w:cs="Arial"/>
          <w:b/>
          <w:color w:val="000000"/>
        </w:rPr>
        <w:t>)</w:t>
      </w:r>
    </w:p>
    <w:p w:rsidR="00D67C42" w:rsidRDefault="00D67C42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:rsidTr="00321C43">
        <w:trPr>
          <w:trHeight w:val="384"/>
        </w:trPr>
        <w:tc>
          <w:tcPr>
            <w:tcW w:w="2842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>
        <w:tc>
          <w:tcPr>
            <w:tcW w:w="2842" w:type="dxa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Carné</w:t>
            </w:r>
            <w:r w:rsidR="00735AD5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Extranjería o Permiso Temporal de Permanencia. Asimismo, las constancias expedidas en el extranjero deberán ser legalizadas en el país en el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que fueron emitidos. La colegiatura y habilidad profesional para ejercer la profesión en el Perú son </w:t>
            </w:r>
            <w:r w:rsidRPr="00F516C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indispensables.</w:t>
            </w:r>
          </w:p>
        </w:tc>
      </w:tr>
      <w:tr w:rsidR="004A4EF6">
        <w:tc>
          <w:tcPr>
            <w:tcW w:w="2842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aseguradora</w:t>
            </w:r>
            <w:r w:rsidR="00D72C5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en </w:t>
            </w:r>
            <w:r w:rsidR="00D72C57" w:rsidRPr="009E3FA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="00321C43" w:rsidRPr="009E3FA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  <w:r w:rsidR="00D472D7" w:rsidRPr="009E3FA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9E3FAC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>
        <w:tc>
          <w:tcPr>
            <w:tcW w:w="2842" w:type="dxa"/>
          </w:tcPr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DB6AD5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>
        <w:trPr>
          <w:trHeight w:val="591"/>
        </w:trPr>
        <w:tc>
          <w:tcPr>
            <w:tcW w:w="2842" w:type="dxa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>
        <w:trPr>
          <w:trHeight w:val="591"/>
        </w:trPr>
        <w:tc>
          <w:tcPr>
            <w:tcW w:w="2842" w:type="dxa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>
        <w:trPr>
          <w:trHeight w:val="376"/>
        </w:trPr>
        <w:tc>
          <w:tcPr>
            <w:tcW w:w="2842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Default="009E5B27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:rsidR="00A37E08" w:rsidRDefault="00A37E0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:rsidR="004A4EF6" w:rsidRDefault="00763F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E855B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ENFERMERA (O) (P2EN-00</w:t>
      </w:r>
      <w:r w:rsidR="00A22335">
        <w:rPr>
          <w:rFonts w:ascii="Arial" w:eastAsia="Arial" w:hAnsi="Arial" w:cs="Arial"/>
          <w:b/>
          <w:color w:val="000000"/>
        </w:rPr>
        <w:t>2</w:t>
      </w:r>
      <w:r w:rsidR="00D626E2">
        <w:rPr>
          <w:rFonts w:ascii="Arial" w:eastAsia="Arial" w:hAnsi="Arial" w:cs="Arial"/>
          <w:b/>
          <w:color w:val="000000"/>
        </w:rPr>
        <w:t>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511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5641"/>
      </w:tblGrid>
      <w:tr w:rsidR="004A4EF6" w:rsidTr="00321C43">
        <w:trPr>
          <w:trHeight w:val="460"/>
        </w:trPr>
        <w:tc>
          <w:tcPr>
            <w:tcW w:w="2870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Tr="00E855B4"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</w:t>
            </w:r>
            <w:r w:rsidRPr="00F516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indispensables.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A4EF6" w:rsidTr="00E855B4"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9E3FAC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 w:rsidRPr="009E3FAC">
              <w:rPr>
                <w:rFonts w:ascii="Arial" w:eastAsia="Arial" w:hAnsi="Arial" w:cs="Arial"/>
                <w:sz w:val="18"/>
                <w:szCs w:val="18"/>
              </w:rPr>
              <w:t xml:space="preserve">relacionadas con la actividad prestadora y/o </w:t>
            </w:r>
            <w:r w:rsidR="00DB6AD5" w:rsidRPr="009E3FAC">
              <w:rPr>
                <w:rFonts w:ascii="Arial" w:eastAsia="Arial" w:hAnsi="Arial" w:cs="Arial"/>
                <w:sz w:val="18"/>
                <w:szCs w:val="18"/>
              </w:rPr>
              <w:t>aseguradora</w:t>
            </w:r>
            <w:r w:rsidR="009E3FAC">
              <w:rPr>
                <w:rFonts w:ascii="Arial" w:eastAsia="Arial" w:hAnsi="Arial" w:cs="Arial"/>
                <w:sz w:val="18"/>
                <w:szCs w:val="18"/>
              </w:rPr>
              <w:t xml:space="preserve"> en áreas </w:t>
            </w:r>
            <w:r w:rsidR="00D72C57" w:rsidRPr="009E3FAC">
              <w:rPr>
                <w:rFonts w:ascii="Arial" w:eastAsia="Arial" w:hAnsi="Arial" w:cs="Arial"/>
                <w:sz w:val="18"/>
                <w:szCs w:val="18"/>
              </w:rPr>
              <w:t>COVID-19</w:t>
            </w:r>
            <w:r w:rsidR="00DB6AD5" w:rsidRPr="009E3FA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3B77BD" w:rsidRPr="009E3F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E3FAC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9E3FAC">
              <w:rPr>
                <w:rFonts w:ascii="Arial" w:eastAsia="Arial" w:hAnsi="Arial" w:cs="Arial"/>
                <w:sz w:val="18"/>
                <w:szCs w:val="18"/>
              </w:rPr>
              <w:t>Se considerará la experiencia laboral en Entidades Públicas y/o Privadas y la efectuada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Default="00D626E2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:rsidTr="00E855B4">
        <w:trPr>
          <w:trHeight w:val="345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DB6AD5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:rsidTr="00E855B4">
        <w:trPr>
          <w:trHeight w:val="560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Conocimientos Complementarios para el cargo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A4EF6" w:rsidTr="00E855B4">
        <w:trPr>
          <w:trHeight w:val="150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:rsidTr="00E855B4">
        <w:trPr>
          <w:trHeight w:val="330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41" w:type="dxa"/>
            <w:vAlign w:val="center"/>
          </w:tcPr>
          <w:p w:rsidR="004A4EF6" w:rsidRDefault="004F11C2" w:rsidP="004F11C2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5B27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:rsidR="004A4EF6" w:rsidRDefault="004A4EF6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 w:rsidP="006658A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</w:t>
      </w:r>
      <w:r w:rsidR="006658A7">
        <w:rPr>
          <w:rFonts w:ascii="Arial" w:eastAsia="Arial" w:hAnsi="Arial" w:cs="Arial"/>
          <w:b/>
          <w:color w:val="000000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321C43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321C43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>
        <w:rPr>
          <w:rFonts w:ascii="Arial" w:eastAsia="Arial" w:hAnsi="Arial" w:cs="Arial"/>
          <w:b/>
          <w:color w:val="000000"/>
          <w:u w:val="single"/>
        </w:rPr>
        <w:t>P.S. 00</w:t>
      </w:r>
      <w:r w:rsidR="00321C43">
        <w:rPr>
          <w:rFonts w:ascii="Arial" w:eastAsia="Arial" w:hAnsi="Arial" w:cs="Arial"/>
          <w:b/>
          <w:color w:val="000000"/>
          <w:u w:val="single"/>
        </w:rPr>
        <w:t>5</w:t>
      </w:r>
      <w:r>
        <w:rPr>
          <w:rFonts w:ascii="Arial" w:eastAsia="Arial" w:hAnsi="Arial" w:cs="Arial"/>
          <w:b/>
          <w:color w:val="000000"/>
          <w:u w:val="single"/>
        </w:rPr>
        <w:t xml:space="preserve">-CAS-RATAC-2021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AC2E2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AC2E2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0E8C" w:rsidRDefault="00A50E8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50E8C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b/>
          <w:color w:val="000000"/>
        </w:rPr>
      </w:pPr>
      <w:r w:rsidRPr="00A50E8C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760095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Tr="00760095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660B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670E3" w:rsidRPr="00AC2E28" w:rsidRDefault="00D626E2" w:rsidP="006670E3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C2E2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E6ACE" w:rsidRPr="00AC2E2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A50E8C" w:rsidRPr="00AC2E28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6670E3" w:rsidRPr="00AC2E28">
              <w:rPr>
                <w:rFonts w:ascii="Arial" w:eastAsia="Arial" w:hAnsi="Arial" w:cs="Arial"/>
                <w:color w:val="000000"/>
                <w:sz w:val="18"/>
                <w:szCs w:val="18"/>
              </w:rPr>
              <w:t>3 al</w:t>
            </w:r>
            <w:r w:rsidR="00A50E8C" w:rsidRPr="00AC2E2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B11477" w:rsidRPr="00AC2E28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6C114D" w:rsidRPr="00AC2E28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 w:rsidR="009E5EE2" w:rsidRPr="00AC2E2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6670E3" w:rsidRPr="00AC2E2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AC2E2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  <w:r w:rsidRPr="00AC2E2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A4EF6" w:rsidRPr="00AC2E28" w:rsidRDefault="00D626E2" w:rsidP="006670E3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AC2E2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(hasta las 1</w:t>
            </w:r>
            <w:r w:rsidR="00B11477" w:rsidRPr="00AC2E2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3</w:t>
            </w:r>
            <w:r w:rsidRPr="00AC2E2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:00 hora</w:t>
            </w:r>
            <w:bookmarkStart w:id="0" w:name="_GoBack"/>
            <w:bookmarkEnd w:id="0"/>
            <w:r w:rsidRPr="00AC2E2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s</w:t>
            </w:r>
            <w:r w:rsidRPr="00AC2E28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760095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A4EF6" w:rsidRPr="00AC2E28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AC2E28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2E28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A50E8C" w:rsidRPr="00AC2E2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C114D" w:rsidRPr="00AC2E28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9E5EE2" w:rsidRPr="00AC2E28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6670E3" w:rsidRPr="00AC2E28">
              <w:rPr>
                <w:rFonts w:ascii="Arial" w:eastAsia="Arial" w:hAnsi="Arial" w:cs="Arial"/>
                <w:sz w:val="18"/>
                <w:szCs w:val="18"/>
              </w:rPr>
              <w:t>marzo</w:t>
            </w:r>
            <w:r w:rsidR="009E5EE2" w:rsidRPr="00AC2E28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AC2E28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2E28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AC2E28" w:rsidRDefault="00AC2E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AC2E28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AC2E28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F220DE" w:rsidRPr="00F220DE" w:rsidRDefault="00F220DE" w:rsidP="00F220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URRHH –  Unidad 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Declaraciones Juradas (Formatos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1,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2,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3,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4 de corresponder y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220DE" w:rsidRDefault="00F220D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220DE" w:rsidRDefault="00F220D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61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2232"/>
        <w:gridCol w:w="6378"/>
      </w:tblGrid>
      <w:tr w:rsidR="004A4EF6" w:rsidTr="00760095">
        <w:trPr>
          <w:trHeight w:val="39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RPr="00F516CB" w:rsidTr="00F220DE">
        <w:trPr>
          <w:trHeight w:val="8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D626E2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TACNA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EA0566" w:rsidRDefault="004A4EF6" w:rsidP="005666CC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</w:p>
          <w:p w:rsidR="00EA0566" w:rsidRDefault="00AC2E28" w:rsidP="006670E3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4" w:history="1">
              <w:r w:rsidR="00F516CB" w:rsidRPr="00590502">
                <w:rPr>
                  <w:rStyle w:val="Hipervnculo"/>
                  <w:rFonts w:ascii="Arial" w:eastAsia="Arial" w:hAnsi="Arial" w:cs="Arial"/>
                  <w:b/>
                </w:rPr>
                <w:t>redtacnaurh.p1me@gmail.com</w:t>
              </w:r>
            </w:hyperlink>
            <w:r w:rsidR="00F516CB">
              <w:rPr>
                <w:rFonts w:ascii="Arial" w:eastAsia="Arial" w:hAnsi="Arial" w:cs="Arial"/>
                <w:b/>
                <w:color w:val="000000"/>
              </w:rPr>
              <w:t xml:space="preserve"> (Médico General)</w:t>
            </w:r>
          </w:p>
          <w:p w:rsidR="00F516CB" w:rsidRDefault="00AC2E28" w:rsidP="006670E3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lang w:val="es-PE"/>
              </w:rPr>
            </w:pPr>
            <w:hyperlink r:id="rId15" w:history="1">
              <w:r w:rsidR="00F516CB" w:rsidRPr="00F516CB">
                <w:rPr>
                  <w:rStyle w:val="Hipervnculo"/>
                  <w:rFonts w:ascii="Arial" w:eastAsia="Arial" w:hAnsi="Arial" w:cs="Arial"/>
                  <w:b/>
                  <w:lang w:val="es-PE"/>
                </w:rPr>
                <w:t>redtacnaurh.p2enf@gmail.com</w:t>
              </w:r>
            </w:hyperlink>
            <w:r w:rsidR="00F516CB" w:rsidRPr="00F516CB">
              <w:rPr>
                <w:rFonts w:ascii="Arial" w:eastAsia="Arial" w:hAnsi="Arial" w:cs="Arial"/>
                <w:b/>
                <w:color w:val="000000"/>
                <w:lang w:val="es-PE"/>
              </w:rPr>
              <w:t xml:space="preserve"> (Enfe</w:t>
            </w:r>
            <w:r w:rsidR="00F516CB">
              <w:rPr>
                <w:rFonts w:ascii="Arial" w:eastAsia="Arial" w:hAnsi="Arial" w:cs="Arial"/>
                <w:b/>
                <w:color w:val="000000"/>
                <w:lang w:val="es-PE"/>
              </w:rPr>
              <w:t>rmera)</w:t>
            </w:r>
          </w:p>
          <w:p w:rsidR="00F516CB" w:rsidRPr="00F516CB" w:rsidRDefault="00F516CB" w:rsidP="006670E3">
            <w:pPr>
              <w:pStyle w:val="Normal1"/>
              <w:rPr>
                <w:rFonts w:ascii="Arial" w:eastAsia="Arial" w:hAnsi="Arial" w:cs="Arial"/>
                <w:b/>
                <w:color w:val="000000"/>
                <w:lang w:val="es-PE"/>
              </w:rPr>
            </w:pPr>
          </w:p>
        </w:tc>
      </w:tr>
    </w:tbl>
    <w:p w:rsidR="004A4EF6" w:rsidRPr="00F516C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s-PE"/>
        </w:rPr>
      </w:pPr>
    </w:p>
    <w:sectPr w:rsidR="004A4EF6" w:rsidRPr="00F516CB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67" w:rsidRDefault="00F36E67" w:rsidP="004A4EF6">
      <w:r>
        <w:separator/>
      </w:r>
    </w:p>
  </w:endnote>
  <w:endnote w:type="continuationSeparator" w:id="0">
    <w:p w:rsidR="00F36E67" w:rsidRDefault="00F36E67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F6" w:rsidRDefault="00C23243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D626E2">
      <w:rPr>
        <w:color w:val="000000"/>
      </w:rPr>
      <w:instrText>PAGE</w:instrText>
    </w:r>
    <w:r>
      <w:rPr>
        <w:color w:val="000000"/>
      </w:rPr>
      <w:fldChar w:fldCharType="end"/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67" w:rsidRDefault="00F36E67" w:rsidP="004A4EF6">
      <w:r>
        <w:separator/>
      </w:r>
    </w:p>
  </w:footnote>
  <w:footnote w:type="continuationSeparator" w:id="0">
    <w:p w:rsidR="00F36E67" w:rsidRDefault="00F36E67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F6" w:rsidRDefault="00D626E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4EF6" w:rsidRDefault="004A4EF6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4A4EF6" w:rsidRDefault="00D626E2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</w:t>
    </w:r>
    <w:r w:rsidR="00CF4779" w:rsidRPr="00CF4779">
      <w:rPr>
        <w:rFonts w:ascii="Arial" w:eastAsia="Arial" w:hAnsi="Arial" w:cs="Arial"/>
        <w:i/>
      </w:rPr>
      <w:t xml:space="preserve"> </w:t>
    </w:r>
    <w:hyperlink r:id="rId2" w:history="1">
      <w:r w:rsidR="00CF4779" w:rsidRPr="00CF4779">
        <w:rPr>
          <w:rStyle w:val="Hipervnculo"/>
          <w:rFonts w:ascii="Arial" w:hAnsi="Arial" w:cs="Arial"/>
          <w:i/>
          <w:color w:val="auto"/>
          <w:u w:val="none"/>
          <w:bdr w:val="none" w:sz="0" w:space="0" w:color="auto" w:frame="1"/>
          <w:shd w:val="clear" w:color="auto" w:fill="FFFFFF"/>
        </w:rPr>
        <w:t>Año del Bicentenario del Perú: 200 años de Independencia</w:t>
      </w:r>
    </w:hyperlink>
    <w:r>
      <w:rPr>
        <w:rFonts w:ascii="Arial" w:eastAsia="Arial" w:hAnsi="Arial" w:cs="Arial"/>
        <w:i/>
        <w:sz w:val="18"/>
        <w:szCs w:val="18"/>
      </w:rPr>
      <w:t>”</w:t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6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"/>
  </w:num>
  <w:num w:numId="5">
    <w:abstractNumId w:val="2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1"/>
  </w:num>
  <w:num w:numId="11">
    <w:abstractNumId w:val="22"/>
  </w:num>
  <w:num w:numId="12">
    <w:abstractNumId w:val="2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  <w:num w:numId="22">
    <w:abstractNumId w:val="6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E7959"/>
    <w:rsid w:val="001A5C0A"/>
    <w:rsid w:val="001E51ED"/>
    <w:rsid w:val="00204A29"/>
    <w:rsid w:val="002725BA"/>
    <w:rsid w:val="00292B5B"/>
    <w:rsid w:val="002F47DF"/>
    <w:rsid w:val="00305C78"/>
    <w:rsid w:val="00321C43"/>
    <w:rsid w:val="00325B28"/>
    <w:rsid w:val="00327DA9"/>
    <w:rsid w:val="003B77BD"/>
    <w:rsid w:val="003F6101"/>
    <w:rsid w:val="00427DB2"/>
    <w:rsid w:val="004A4EF6"/>
    <w:rsid w:val="004B0E2F"/>
    <w:rsid w:val="004E0920"/>
    <w:rsid w:val="004F11C2"/>
    <w:rsid w:val="00510498"/>
    <w:rsid w:val="005666CC"/>
    <w:rsid w:val="00592601"/>
    <w:rsid w:val="005F1913"/>
    <w:rsid w:val="005F7C97"/>
    <w:rsid w:val="0065107D"/>
    <w:rsid w:val="00660B80"/>
    <w:rsid w:val="006658A7"/>
    <w:rsid w:val="006670E3"/>
    <w:rsid w:val="0069180B"/>
    <w:rsid w:val="00692AE9"/>
    <w:rsid w:val="006C114D"/>
    <w:rsid w:val="00716375"/>
    <w:rsid w:val="00735AD5"/>
    <w:rsid w:val="00760095"/>
    <w:rsid w:val="00763F73"/>
    <w:rsid w:val="00792E37"/>
    <w:rsid w:val="007E7B00"/>
    <w:rsid w:val="00831801"/>
    <w:rsid w:val="00844EB3"/>
    <w:rsid w:val="008B1AF0"/>
    <w:rsid w:val="008F1B05"/>
    <w:rsid w:val="0092549A"/>
    <w:rsid w:val="00971016"/>
    <w:rsid w:val="009A7540"/>
    <w:rsid w:val="009E3FAC"/>
    <w:rsid w:val="009E5B27"/>
    <w:rsid w:val="009E5EE2"/>
    <w:rsid w:val="009E6E84"/>
    <w:rsid w:val="00A22335"/>
    <w:rsid w:val="00A37E08"/>
    <w:rsid w:val="00A50E8C"/>
    <w:rsid w:val="00AC2E28"/>
    <w:rsid w:val="00AD562B"/>
    <w:rsid w:val="00AF3FE9"/>
    <w:rsid w:val="00B0146D"/>
    <w:rsid w:val="00B0318E"/>
    <w:rsid w:val="00B11477"/>
    <w:rsid w:val="00B20250"/>
    <w:rsid w:val="00B5649F"/>
    <w:rsid w:val="00BF24C9"/>
    <w:rsid w:val="00C23243"/>
    <w:rsid w:val="00C91C10"/>
    <w:rsid w:val="00CD1D4C"/>
    <w:rsid w:val="00CD2B43"/>
    <w:rsid w:val="00CE6ACE"/>
    <w:rsid w:val="00CF4779"/>
    <w:rsid w:val="00D27B62"/>
    <w:rsid w:val="00D45EE8"/>
    <w:rsid w:val="00D472D7"/>
    <w:rsid w:val="00D626E2"/>
    <w:rsid w:val="00D67C42"/>
    <w:rsid w:val="00D72C57"/>
    <w:rsid w:val="00D81B80"/>
    <w:rsid w:val="00D963D0"/>
    <w:rsid w:val="00DA60AB"/>
    <w:rsid w:val="00DB6AD5"/>
    <w:rsid w:val="00E02EE7"/>
    <w:rsid w:val="00E855B4"/>
    <w:rsid w:val="00EA0566"/>
    <w:rsid w:val="00ED2A93"/>
    <w:rsid w:val="00F220DE"/>
    <w:rsid w:val="00F36E67"/>
    <w:rsid w:val="00F50D1E"/>
    <w:rsid w:val="00F5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5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tacnaurh.p2enf@gmail.com" TargetMode="Externa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redtacnaurh.p1m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comercio.pe/lima/declaran-el-2021-como-el-ano-del-bicentenario-del-peru-200-anos-de-independencia-nndc-notici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Egocheaga Sedano Pilar July</cp:lastModifiedBy>
  <cp:revision>5</cp:revision>
  <dcterms:created xsi:type="dcterms:W3CDTF">2021-03-03T19:48:00Z</dcterms:created>
  <dcterms:modified xsi:type="dcterms:W3CDTF">2021-03-03T19:50:00Z</dcterms:modified>
</cp:coreProperties>
</file>