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73416F">
        <w:rPr>
          <w:rFonts w:ascii="Arial" w:hAnsi="Arial" w:cs="Arial"/>
          <w:b w:val="0"/>
          <w:bCs w:val="0"/>
          <w:sz w:val="20"/>
          <w:szCs w:val="20"/>
        </w:rPr>
        <w:t>005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B3170F">
        <w:rPr>
          <w:rFonts w:ascii="Arial" w:hAnsi="Arial" w:cs="Arial"/>
          <w:b/>
        </w:rPr>
        <w:t xml:space="preserve"> l</w:t>
      </w:r>
      <w:r w:rsidR="00B3170F" w:rsidRPr="00B3170F">
        <w:rPr>
          <w:rFonts w:ascii="Arial" w:hAnsi="Arial" w:cs="Arial"/>
        </w:rPr>
        <w:t>os</w:t>
      </w:r>
      <w:r w:rsidR="00B3170F">
        <w:rPr>
          <w:rFonts w:ascii="Arial" w:hAnsi="Arial" w:cs="Arial"/>
          <w:b/>
        </w:rPr>
        <w:t xml:space="preserve"> </w:t>
      </w:r>
      <w:r w:rsidR="00B0627F" w:rsidRPr="00B0627F">
        <w:rPr>
          <w:rFonts w:ascii="Arial" w:hAnsi="Arial" w:cs="Arial"/>
        </w:rPr>
        <w:t>siguiente</w:t>
      </w:r>
      <w:r w:rsidR="00B3170F">
        <w:rPr>
          <w:rFonts w:ascii="Arial" w:hAnsi="Arial" w:cs="Arial"/>
        </w:rPr>
        <w:t>s</w:t>
      </w:r>
      <w:r w:rsidR="001436AD">
        <w:rPr>
          <w:rFonts w:ascii="Arial" w:hAnsi="Arial" w:cs="Arial"/>
        </w:rPr>
        <w:t xml:space="preserve"> </w:t>
      </w:r>
      <w:r w:rsidRPr="00B0627F">
        <w:rPr>
          <w:rFonts w:ascii="Arial" w:hAnsi="Arial" w:cs="Arial"/>
        </w:rPr>
        <w:t>cargo</w:t>
      </w:r>
      <w:r w:rsidR="00B3170F">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418"/>
        <w:gridCol w:w="1843"/>
        <w:gridCol w:w="1275"/>
        <w:gridCol w:w="1843"/>
        <w:gridCol w:w="1559"/>
      </w:tblGrid>
      <w:tr w:rsidR="00E958B4" w:rsidRPr="00487962" w:rsidTr="00156A16">
        <w:trPr>
          <w:trHeight w:val="537"/>
        </w:trPr>
        <w:tc>
          <w:tcPr>
            <w:tcW w:w="1163"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CARGO</w:t>
            </w:r>
          </w:p>
        </w:tc>
        <w:tc>
          <w:tcPr>
            <w:tcW w:w="1418"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REMUNERACIÒN MENSUAL</w:t>
            </w:r>
          </w:p>
        </w:tc>
        <w:tc>
          <w:tcPr>
            <w:tcW w:w="1275"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CANTIDAD</w:t>
            </w:r>
          </w:p>
        </w:tc>
        <w:tc>
          <w:tcPr>
            <w:tcW w:w="1843"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D9D9D9" w:themeFill="background1" w:themeFillShade="D9"/>
            <w:vAlign w:val="center"/>
          </w:tcPr>
          <w:p w:rsidR="0073416F" w:rsidRPr="00563FC8" w:rsidRDefault="0073416F" w:rsidP="00CE6C3C">
            <w:pPr>
              <w:jc w:val="center"/>
              <w:rPr>
                <w:rFonts w:ascii="Arial" w:hAnsi="Arial" w:cs="Arial"/>
                <w:b/>
                <w:sz w:val="18"/>
                <w:szCs w:val="18"/>
              </w:rPr>
            </w:pPr>
            <w:r w:rsidRPr="00563FC8">
              <w:rPr>
                <w:rFonts w:ascii="Arial" w:hAnsi="Arial" w:cs="Arial"/>
                <w:b/>
                <w:sz w:val="18"/>
                <w:szCs w:val="18"/>
              </w:rPr>
              <w:t>DEPENDENCIA</w:t>
            </w:r>
          </w:p>
        </w:tc>
      </w:tr>
      <w:tr w:rsidR="00E958B4" w:rsidRPr="00487962" w:rsidTr="00156A16">
        <w:trPr>
          <w:trHeight w:val="842"/>
        </w:trPr>
        <w:tc>
          <w:tcPr>
            <w:tcW w:w="1163" w:type="dxa"/>
            <w:vMerge w:val="restart"/>
            <w:vAlign w:val="center"/>
          </w:tcPr>
          <w:p w:rsidR="00E958B4" w:rsidRPr="00A51430" w:rsidRDefault="00E958B4" w:rsidP="006B2919">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rsidR="00E958B4" w:rsidRPr="00A51430" w:rsidRDefault="00E958B4" w:rsidP="00CE6C3C">
            <w:pPr>
              <w:jc w:val="center"/>
              <w:rPr>
                <w:rFonts w:ascii="Arial" w:hAnsi="Arial" w:cs="Arial"/>
                <w:sz w:val="18"/>
                <w:szCs w:val="18"/>
              </w:rPr>
            </w:pPr>
            <w:r>
              <w:rPr>
                <w:rFonts w:ascii="Arial" w:hAnsi="Arial" w:cs="Arial"/>
                <w:sz w:val="18"/>
                <w:szCs w:val="18"/>
              </w:rPr>
              <w:t>P1ME</w:t>
            </w:r>
            <w:r w:rsidRPr="00A51430">
              <w:rPr>
                <w:rFonts w:ascii="Arial" w:hAnsi="Arial" w:cs="Arial"/>
                <w:sz w:val="18"/>
                <w:szCs w:val="18"/>
              </w:rPr>
              <w:t>-001</w:t>
            </w:r>
          </w:p>
        </w:tc>
        <w:tc>
          <w:tcPr>
            <w:tcW w:w="1843" w:type="dxa"/>
            <w:vMerge w:val="restart"/>
            <w:shd w:val="clear" w:color="auto" w:fill="auto"/>
            <w:vAlign w:val="center"/>
          </w:tcPr>
          <w:p w:rsidR="00E958B4" w:rsidRPr="00A51430" w:rsidRDefault="00E958B4"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E958B4" w:rsidRPr="00A51430" w:rsidRDefault="00E958B4" w:rsidP="00CE6C3C">
            <w:pPr>
              <w:jc w:val="center"/>
              <w:rPr>
                <w:rFonts w:ascii="Arial" w:hAnsi="Arial" w:cs="Arial"/>
                <w:sz w:val="18"/>
                <w:szCs w:val="18"/>
              </w:rPr>
            </w:pPr>
            <w:r w:rsidRPr="00A51430">
              <w:rPr>
                <w:rFonts w:ascii="Arial" w:hAnsi="Arial" w:cs="Arial"/>
                <w:sz w:val="18"/>
                <w:szCs w:val="18"/>
              </w:rPr>
              <w:t>01</w:t>
            </w:r>
          </w:p>
        </w:tc>
        <w:tc>
          <w:tcPr>
            <w:tcW w:w="1843" w:type="dxa"/>
            <w:shd w:val="clear" w:color="auto" w:fill="auto"/>
            <w:vAlign w:val="center"/>
          </w:tcPr>
          <w:p w:rsidR="00E958B4" w:rsidRPr="00A51430" w:rsidRDefault="00E958B4" w:rsidP="0084765C">
            <w:pPr>
              <w:jc w:val="center"/>
              <w:rPr>
                <w:rFonts w:ascii="Arial" w:hAnsi="Arial" w:cs="Arial"/>
                <w:sz w:val="18"/>
                <w:szCs w:val="18"/>
              </w:rPr>
            </w:pPr>
            <w:r>
              <w:rPr>
                <w:rFonts w:ascii="Arial" w:hAnsi="Arial" w:cs="Arial"/>
                <w:sz w:val="18"/>
                <w:szCs w:val="18"/>
              </w:rPr>
              <w:t>Unida de Admisión,</w:t>
            </w:r>
            <w:r w:rsidR="00156A16">
              <w:rPr>
                <w:rFonts w:ascii="Arial" w:hAnsi="Arial" w:cs="Arial"/>
                <w:sz w:val="18"/>
                <w:szCs w:val="18"/>
              </w:rPr>
              <w:t xml:space="preserve"> Registros Médicos,</w:t>
            </w:r>
            <w:r>
              <w:rPr>
                <w:rFonts w:ascii="Arial" w:hAnsi="Arial" w:cs="Arial"/>
                <w:sz w:val="18"/>
                <w:szCs w:val="18"/>
              </w:rPr>
              <w:t xml:space="preserve"> Referencias y </w:t>
            </w:r>
            <w:proofErr w:type="spellStart"/>
            <w:r>
              <w:rPr>
                <w:rFonts w:ascii="Arial" w:hAnsi="Arial" w:cs="Arial"/>
                <w:sz w:val="18"/>
                <w:szCs w:val="18"/>
              </w:rPr>
              <w:t>Contrareferencias</w:t>
            </w:r>
            <w:proofErr w:type="spellEnd"/>
          </w:p>
        </w:tc>
        <w:tc>
          <w:tcPr>
            <w:tcW w:w="1559" w:type="dxa"/>
            <w:shd w:val="clear" w:color="auto" w:fill="auto"/>
            <w:vAlign w:val="center"/>
          </w:tcPr>
          <w:p w:rsidR="00E958B4" w:rsidRPr="00A51430" w:rsidRDefault="00E958B4" w:rsidP="00584998">
            <w:pPr>
              <w:jc w:val="center"/>
              <w:rPr>
                <w:rFonts w:ascii="Arial" w:hAnsi="Arial" w:cs="Arial"/>
                <w:sz w:val="18"/>
                <w:szCs w:val="18"/>
              </w:rPr>
            </w:pPr>
            <w:r>
              <w:rPr>
                <w:rFonts w:ascii="Arial" w:hAnsi="Arial" w:cs="Arial"/>
                <w:sz w:val="18"/>
                <w:szCs w:val="18"/>
              </w:rPr>
              <w:t>Hospital II Huánuco</w:t>
            </w:r>
          </w:p>
        </w:tc>
      </w:tr>
      <w:tr w:rsidR="00E958B4" w:rsidRPr="00487962" w:rsidTr="00156A16">
        <w:trPr>
          <w:trHeight w:val="699"/>
        </w:trPr>
        <w:tc>
          <w:tcPr>
            <w:tcW w:w="1163" w:type="dxa"/>
            <w:vMerge/>
            <w:vAlign w:val="center"/>
          </w:tcPr>
          <w:p w:rsidR="00E958B4" w:rsidRDefault="00E958B4" w:rsidP="006B2919">
            <w:pPr>
              <w:jc w:val="center"/>
              <w:rPr>
                <w:rFonts w:ascii="Arial" w:hAnsi="Arial" w:cs="Arial"/>
                <w:sz w:val="18"/>
                <w:szCs w:val="18"/>
              </w:rPr>
            </w:pPr>
          </w:p>
        </w:tc>
        <w:tc>
          <w:tcPr>
            <w:tcW w:w="1418" w:type="dxa"/>
            <w:shd w:val="clear" w:color="auto" w:fill="auto"/>
            <w:vAlign w:val="center"/>
          </w:tcPr>
          <w:p w:rsidR="00E958B4" w:rsidRDefault="00E958B4" w:rsidP="00CE6C3C">
            <w:pPr>
              <w:jc w:val="center"/>
              <w:rPr>
                <w:rFonts w:ascii="Arial" w:hAnsi="Arial" w:cs="Arial"/>
                <w:sz w:val="18"/>
                <w:szCs w:val="18"/>
              </w:rPr>
            </w:pPr>
            <w:r>
              <w:rPr>
                <w:rFonts w:ascii="Arial" w:hAnsi="Arial" w:cs="Arial"/>
                <w:sz w:val="18"/>
                <w:szCs w:val="18"/>
              </w:rPr>
              <w:t>P1ME-002</w:t>
            </w:r>
          </w:p>
        </w:tc>
        <w:tc>
          <w:tcPr>
            <w:tcW w:w="1843" w:type="dxa"/>
            <w:vMerge/>
            <w:shd w:val="clear" w:color="auto" w:fill="auto"/>
            <w:vAlign w:val="center"/>
          </w:tcPr>
          <w:p w:rsidR="00E958B4" w:rsidRDefault="00E958B4" w:rsidP="00AD1110">
            <w:pPr>
              <w:jc w:val="center"/>
              <w:rPr>
                <w:rFonts w:ascii="Arial" w:hAnsi="Arial" w:cs="Arial"/>
                <w:sz w:val="18"/>
                <w:szCs w:val="18"/>
                <w:lang w:val="es-MX"/>
              </w:rPr>
            </w:pPr>
          </w:p>
        </w:tc>
        <w:tc>
          <w:tcPr>
            <w:tcW w:w="1275" w:type="dxa"/>
            <w:shd w:val="clear" w:color="auto" w:fill="auto"/>
            <w:vAlign w:val="center"/>
          </w:tcPr>
          <w:p w:rsidR="00E958B4" w:rsidRPr="00A51430" w:rsidRDefault="00E958B4" w:rsidP="00CE6C3C">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E958B4" w:rsidRPr="00A51430" w:rsidRDefault="00156A16" w:rsidP="0084765C">
            <w:pPr>
              <w:jc w:val="center"/>
              <w:rPr>
                <w:rFonts w:ascii="Arial" w:hAnsi="Arial" w:cs="Arial"/>
                <w:sz w:val="18"/>
                <w:szCs w:val="18"/>
              </w:rPr>
            </w:pPr>
            <w:r>
              <w:rPr>
                <w:rFonts w:ascii="Arial" w:hAnsi="Arial" w:cs="Arial"/>
                <w:sz w:val="18"/>
                <w:szCs w:val="18"/>
              </w:rPr>
              <w:t>____</w:t>
            </w:r>
          </w:p>
        </w:tc>
        <w:tc>
          <w:tcPr>
            <w:tcW w:w="1559" w:type="dxa"/>
            <w:shd w:val="clear" w:color="auto" w:fill="auto"/>
            <w:vAlign w:val="center"/>
          </w:tcPr>
          <w:p w:rsidR="00E958B4" w:rsidRPr="00A51430" w:rsidRDefault="008E484F" w:rsidP="008E484F">
            <w:pPr>
              <w:jc w:val="center"/>
              <w:rPr>
                <w:rFonts w:ascii="Arial" w:hAnsi="Arial" w:cs="Arial"/>
                <w:sz w:val="18"/>
                <w:szCs w:val="18"/>
              </w:rPr>
            </w:pPr>
            <w:r>
              <w:rPr>
                <w:rFonts w:ascii="Arial" w:hAnsi="Arial" w:cs="Arial"/>
                <w:sz w:val="18"/>
                <w:szCs w:val="18"/>
              </w:rPr>
              <w:t>Centro Médico</w:t>
            </w:r>
            <w:r w:rsidR="00E958B4">
              <w:rPr>
                <w:rFonts w:ascii="Arial" w:hAnsi="Arial" w:cs="Arial"/>
                <w:sz w:val="18"/>
                <w:szCs w:val="18"/>
              </w:rPr>
              <w:t xml:space="preserve"> Ambo</w:t>
            </w:r>
          </w:p>
        </w:tc>
      </w:tr>
      <w:tr w:rsidR="00E958B4" w:rsidRPr="00487962" w:rsidTr="00156A16">
        <w:trPr>
          <w:trHeight w:val="680"/>
        </w:trPr>
        <w:tc>
          <w:tcPr>
            <w:tcW w:w="1163" w:type="dxa"/>
            <w:vMerge/>
            <w:vAlign w:val="center"/>
          </w:tcPr>
          <w:p w:rsidR="00E958B4" w:rsidRDefault="00E958B4" w:rsidP="006B2919">
            <w:pPr>
              <w:jc w:val="center"/>
              <w:rPr>
                <w:rFonts w:ascii="Arial" w:hAnsi="Arial" w:cs="Arial"/>
                <w:sz w:val="18"/>
                <w:szCs w:val="18"/>
              </w:rPr>
            </w:pPr>
          </w:p>
        </w:tc>
        <w:tc>
          <w:tcPr>
            <w:tcW w:w="1418" w:type="dxa"/>
            <w:shd w:val="clear" w:color="auto" w:fill="auto"/>
            <w:vAlign w:val="center"/>
          </w:tcPr>
          <w:p w:rsidR="00E958B4" w:rsidRDefault="00E958B4" w:rsidP="00CE6C3C">
            <w:pPr>
              <w:jc w:val="center"/>
              <w:rPr>
                <w:rFonts w:ascii="Arial" w:hAnsi="Arial" w:cs="Arial"/>
                <w:sz w:val="18"/>
                <w:szCs w:val="18"/>
              </w:rPr>
            </w:pPr>
            <w:r>
              <w:rPr>
                <w:rFonts w:ascii="Arial" w:hAnsi="Arial" w:cs="Arial"/>
                <w:sz w:val="18"/>
                <w:szCs w:val="18"/>
              </w:rPr>
              <w:t>P1ME-003</w:t>
            </w:r>
          </w:p>
        </w:tc>
        <w:tc>
          <w:tcPr>
            <w:tcW w:w="1843" w:type="dxa"/>
            <w:vMerge/>
            <w:shd w:val="clear" w:color="auto" w:fill="auto"/>
            <w:vAlign w:val="center"/>
          </w:tcPr>
          <w:p w:rsidR="00E958B4" w:rsidRDefault="00E958B4" w:rsidP="00AD1110">
            <w:pPr>
              <w:jc w:val="center"/>
              <w:rPr>
                <w:rFonts w:ascii="Arial" w:hAnsi="Arial" w:cs="Arial"/>
                <w:sz w:val="18"/>
                <w:szCs w:val="18"/>
                <w:lang w:val="es-MX"/>
              </w:rPr>
            </w:pPr>
          </w:p>
        </w:tc>
        <w:tc>
          <w:tcPr>
            <w:tcW w:w="1275" w:type="dxa"/>
            <w:shd w:val="clear" w:color="auto" w:fill="auto"/>
            <w:vAlign w:val="center"/>
          </w:tcPr>
          <w:p w:rsidR="00E958B4" w:rsidRPr="00A51430" w:rsidRDefault="00E958B4" w:rsidP="00CE6C3C">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E958B4" w:rsidRPr="00A51430" w:rsidRDefault="00156A16" w:rsidP="0084765C">
            <w:pPr>
              <w:jc w:val="center"/>
              <w:rPr>
                <w:rFonts w:ascii="Arial" w:hAnsi="Arial" w:cs="Arial"/>
                <w:sz w:val="18"/>
                <w:szCs w:val="18"/>
              </w:rPr>
            </w:pPr>
            <w:r>
              <w:rPr>
                <w:rFonts w:ascii="Arial" w:hAnsi="Arial" w:cs="Arial"/>
                <w:sz w:val="18"/>
                <w:szCs w:val="18"/>
              </w:rPr>
              <w:t>____</w:t>
            </w:r>
          </w:p>
        </w:tc>
        <w:tc>
          <w:tcPr>
            <w:tcW w:w="1559" w:type="dxa"/>
            <w:shd w:val="clear" w:color="auto" w:fill="auto"/>
            <w:vAlign w:val="center"/>
          </w:tcPr>
          <w:p w:rsidR="00E958B4" w:rsidRPr="00A51430" w:rsidRDefault="00E958B4" w:rsidP="00584998">
            <w:pPr>
              <w:jc w:val="center"/>
              <w:rPr>
                <w:rFonts w:ascii="Arial" w:hAnsi="Arial" w:cs="Arial"/>
                <w:sz w:val="18"/>
                <w:szCs w:val="18"/>
              </w:rPr>
            </w:pPr>
            <w:r>
              <w:rPr>
                <w:rFonts w:ascii="Arial" w:hAnsi="Arial" w:cs="Arial"/>
                <w:sz w:val="18"/>
                <w:szCs w:val="18"/>
              </w:rPr>
              <w:t xml:space="preserve">Posta Médica </w:t>
            </w:r>
            <w:proofErr w:type="spellStart"/>
            <w:r>
              <w:rPr>
                <w:rFonts w:ascii="Arial" w:hAnsi="Arial" w:cs="Arial"/>
                <w:sz w:val="18"/>
                <w:szCs w:val="18"/>
              </w:rPr>
              <w:t>Tocache</w:t>
            </w:r>
            <w:proofErr w:type="spellEnd"/>
          </w:p>
        </w:tc>
      </w:tr>
      <w:tr w:rsidR="00576C5A" w:rsidRPr="00487962" w:rsidTr="00156A16">
        <w:trPr>
          <w:trHeight w:val="411"/>
        </w:trPr>
        <w:tc>
          <w:tcPr>
            <w:tcW w:w="4424" w:type="dxa"/>
            <w:gridSpan w:val="3"/>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677"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73416F">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73416F" w:rsidRPr="00E958B4" w:rsidRDefault="00E72C59" w:rsidP="00E958B4">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73416F" w:rsidRPr="00B05400" w:rsidRDefault="0073416F"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w:t>
      </w:r>
      <w:r w:rsidR="0073416F">
        <w:rPr>
          <w:rFonts w:ascii="Arial" w:hAnsi="Arial" w:cs="Arial"/>
          <w:b/>
          <w:color w:val="000000"/>
          <w:lang w:val="es-PE"/>
        </w:rPr>
        <w:t>P1ME</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D92C02" w:rsidRPr="00F271FE" w:rsidRDefault="00BF1530" w:rsidP="00F271F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F271FE">
              <w:rPr>
                <w:rFonts w:ascii="Arial" w:hAnsi="Arial" w:cs="Arial"/>
                <w:lang w:val="es-MX"/>
              </w:rPr>
              <w:t>tres</w:t>
            </w:r>
            <w:r w:rsidRPr="00F65B82">
              <w:rPr>
                <w:rFonts w:ascii="Arial" w:hAnsi="Arial" w:cs="Arial"/>
                <w:lang w:val="es-MX"/>
              </w:rPr>
              <w:t xml:space="preserve"> (0</w:t>
            </w:r>
            <w:r w:rsidR="00F271FE">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F271FE" w:rsidRPr="00F271FE" w:rsidRDefault="00F271FE" w:rsidP="00F271FE">
            <w:pPr>
              <w:numPr>
                <w:ilvl w:val="0"/>
                <w:numId w:val="27"/>
              </w:numPr>
              <w:ind w:left="346" w:hanging="346"/>
              <w:jc w:val="both"/>
              <w:rPr>
                <w:rFonts w:ascii="Arial" w:hAnsi="Arial" w:cs="Arial"/>
              </w:rPr>
            </w:pPr>
            <w:r>
              <w:rPr>
                <w:rFonts w:ascii="Arial" w:hAnsi="Arial" w:cs="Arial"/>
              </w:rPr>
              <w:lastRenderedPageBreak/>
              <w:t>Acreditar dos (02</w:t>
            </w:r>
            <w:r w:rsidR="00BF1530" w:rsidRPr="00BF1530">
              <w:rPr>
                <w:rFonts w:ascii="Arial" w:hAnsi="Arial" w:cs="Arial"/>
              </w:rPr>
              <w:t xml:space="preserve">) años de experiencia laboral en </w:t>
            </w:r>
            <w:r>
              <w:rPr>
                <w:rFonts w:ascii="Arial" w:hAnsi="Arial" w:cs="Arial"/>
              </w:rPr>
              <w:t xml:space="preserve">el desempeño de funciones afines al cargo convocado, con posterioridad a </w:t>
            </w:r>
            <w:r w:rsidR="00BF1530" w:rsidRPr="00BF1530">
              <w:rPr>
                <w:rFonts w:ascii="Arial" w:hAnsi="Arial" w:cs="Arial"/>
              </w:rPr>
              <w:t>la</w:t>
            </w:r>
            <w:r>
              <w:rPr>
                <w:rFonts w:ascii="Arial" w:hAnsi="Arial" w:cs="Arial"/>
              </w:rPr>
              <w:t xml:space="preserve"> obtención del título Profesional, excluyendo el SERUMS</w:t>
            </w:r>
            <w:r w:rsidRPr="00F271FE">
              <w:rPr>
                <w:rFonts w:ascii="Arial" w:hAnsi="Arial" w:cs="Arial"/>
                <w:b/>
                <w:bCs/>
              </w:rPr>
              <w:t xml:space="preserve"> (Indispensable).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85" w:type="dxa"/>
          </w:tcPr>
          <w:p w:rsidR="00BF1530" w:rsidRPr="00CD7F34"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w:t>
            </w:r>
            <w:r w:rsidR="00D96B18">
              <w:rPr>
                <w:rFonts w:ascii="Arial" w:hAnsi="Arial" w:cs="Arial"/>
              </w:rPr>
              <w:t>l cargo convocado</w:t>
            </w:r>
            <w:r w:rsidR="00584998" w:rsidRPr="005117F4">
              <w:rPr>
                <w:rFonts w:ascii="Arial" w:hAnsi="Arial" w:cs="Arial"/>
              </w:rPr>
              <w:t>, como mínimo de</w:t>
            </w:r>
            <w:r w:rsidR="005117F4" w:rsidRPr="005117F4">
              <w:rPr>
                <w:rFonts w:ascii="Arial" w:hAnsi="Arial" w:cs="Arial"/>
              </w:rPr>
              <w:t xml:space="preserve"> 51 </w:t>
            </w:r>
            <w:r w:rsidRPr="005117F4">
              <w:rPr>
                <w:rFonts w:ascii="Arial" w:hAnsi="Arial" w:cs="Arial"/>
              </w:rPr>
              <w:t>horas</w:t>
            </w:r>
            <w:r w:rsidR="00D96B18">
              <w:rPr>
                <w:rFonts w:ascii="Arial" w:hAnsi="Arial" w:cs="Arial"/>
              </w:rPr>
              <w:t xml:space="preserve"> o 03 créditos</w:t>
            </w:r>
            <w:r w:rsidRPr="00BF1530">
              <w:rPr>
                <w:rFonts w:ascii="Arial" w:hAnsi="Arial" w:cs="Arial"/>
              </w:rPr>
              <w:t xml:space="preserve">, a partir del año </w:t>
            </w:r>
            <w:r w:rsidRPr="00CD7F34">
              <w:rPr>
                <w:rFonts w:ascii="Arial" w:hAnsi="Arial" w:cs="Arial"/>
              </w:rPr>
              <w:t>201</w:t>
            </w:r>
            <w:r w:rsidR="00956FCC" w:rsidRPr="00CD7F34">
              <w:rPr>
                <w:rFonts w:ascii="Arial" w:hAnsi="Arial" w:cs="Arial"/>
              </w:rPr>
              <w:t>3</w:t>
            </w:r>
            <w:r w:rsidRPr="00CD7F34">
              <w:rPr>
                <w:rFonts w:ascii="Arial" w:hAnsi="Arial" w:cs="Arial"/>
              </w:rPr>
              <w:t xml:space="preserve"> a la fecha </w:t>
            </w:r>
            <w:r w:rsidR="00873B48" w:rsidRPr="00CD7F34">
              <w:rPr>
                <w:rFonts w:ascii="Arial" w:hAnsi="Arial" w:cs="Arial"/>
                <w:b/>
                <w:bCs/>
              </w:rPr>
              <w:t>(Indispensable)</w:t>
            </w:r>
            <w:r w:rsidR="006478B6" w:rsidRPr="00CD7F34">
              <w:rPr>
                <w:rFonts w:ascii="Arial" w:hAnsi="Arial" w:cs="Arial"/>
                <w:b/>
                <w:bCs/>
              </w:rPr>
              <w:t>.</w:t>
            </w:r>
          </w:p>
          <w:p w:rsidR="00F271FE" w:rsidRPr="00CD7F34" w:rsidRDefault="00F271FE" w:rsidP="005117F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Acreditar capacitación en Auditoría Médica</w:t>
            </w:r>
            <w:r w:rsidRPr="00CD7F34">
              <w:rPr>
                <w:rFonts w:ascii="Arial" w:hAnsi="Arial" w:cs="Arial"/>
                <w:b/>
                <w:bCs/>
              </w:rPr>
              <w:t xml:space="preserve"> (Indispensable).</w:t>
            </w:r>
          </w:p>
          <w:p w:rsidR="00F271FE" w:rsidRPr="00BF1530" w:rsidRDefault="00F271FE" w:rsidP="005117F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De preferencia contar con Registro Nacional de Auditoria</w:t>
            </w:r>
            <w:r w:rsidRPr="00CD7F34">
              <w:rPr>
                <w:rFonts w:ascii="Arial" w:hAnsi="Arial" w:cs="Arial"/>
                <w:b/>
                <w:bCs/>
              </w:rPr>
              <w:t xml:space="preserve"> (Deseable)</w:t>
            </w:r>
            <w:r w:rsidR="00D96B18" w:rsidRPr="00CD7F34">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1639F7"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4516</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Default="00BF1530" w:rsidP="00BF1530">
      <w:pPr>
        <w:jc w:val="both"/>
        <w:rPr>
          <w:rFonts w:ascii="Arial" w:hAnsi="Arial" w:cs="Arial"/>
          <w:b/>
          <w:color w:val="000000"/>
          <w:sz w:val="16"/>
          <w:szCs w:val="16"/>
        </w:rPr>
      </w:pPr>
    </w:p>
    <w:p w:rsidR="00F271FE" w:rsidRDefault="00F271FE" w:rsidP="00BF1530">
      <w:pPr>
        <w:jc w:val="both"/>
        <w:rPr>
          <w:rFonts w:ascii="Arial" w:hAnsi="Arial" w:cs="Arial"/>
          <w:b/>
          <w:color w:val="000000"/>
          <w:sz w:val="16"/>
          <w:szCs w:val="16"/>
        </w:rPr>
      </w:pPr>
    </w:p>
    <w:p w:rsidR="00F271FE" w:rsidRPr="00BF1530" w:rsidRDefault="00F271FE" w:rsidP="00F271FE">
      <w:pPr>
        <w:ind w:left="360"/>
        <w:jc w:val="both"/>
        <w:rPr>
          <w:rFonts w:ascii="Arial" w:hAnsi="Arial" w:cs="Arial"/>
          <w:b/>
          <w:color w:val="000000"/>
          <w:lang w:val="es-PE"/>
        </w:rPr>
      </w:pPr>
      <w:r>
        <w:rPr>
          <w:rFonts w:ascii="Arial" w:hAnsi="Arial" w:cs="Arial"/>
          <w:b/>
          <w:lang w:val="pt-BR"/>
        </w:rPr>
        <w:t xml:space="preserve">  </w:t>
      </w:r>
      <w:r w:rsidRPr="00BF1530">
        <w:rPr>
          <w:rFonts w:ascii="Arial" w:hAnsi="Arial" w:cs="Arial"/>
          <w:b/>
          <w:lang w:val="pt-BR"/>
        </w:rPr>
        <w:t>MÉDICO (</w:t>
      </w:r>
      <w:r>
        <w:rPr>
          <w:rFonts w:ascii="Arial" w:hAnsi="Arial" w:cs="Arial"/>
          <w:b/>
          <w:color w:val="000000"/>
          <w:lang w:val="es-PE"/>
        </w:rPr>
        <w:t>P1ME-002 y P1ME-003</w:t>
      </w:r>
      <w:r w:rsidRPr="00BF1530">
        <w:rPr>
          <w:rFonts w:ascii="Arial" w:hAnsi="Arial" w:cs="Arial"/>
          <w:b/>
          <w:color w:val="000000"/>
          <w:lang w:val="es-PE"/>
        </w:rPr>
        <w:t>)</w:t>
      </w:r>
      <w:r w:rsidRPr="00BF1530">
        <w:rPr>
          <w:rFonts w:ascii="Arial" w:hAnsi="Arial" w:cs="Arial"/>
          <w:b/>
          <w:lang w:val="pt-BR"/>
        </w:rPr>
        <w:tab/>
      </w:r>
    </w:p>
    <w:p w:rsidR="00F271FE" w:rsidRPr="00BF1530" w:rsidRDefault="00F271FE" w:rsidP="00F271F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F271FE" w:rsidRPr="00BF1530" w:rsidTr="00F271FE">
        <w:tc>
          <w:tcPr>
            <w:tcW w:w="2340" w:type="dxa"/>
            <w:shd w:val="clear" w:color="auto" w:fill="F2F2F2" w:themeFill="background1" w:themeFillShade="F2"/>
            <w:vAlign w:val="center"/>
          </w:tcPr>
          <w:p w:rsidR="00F271FE" w:rsidRPr="00BF1530" w:rsidRDefault="00F271FE" w:rsidP="00F271FE">
            <w:pPr>
              <w:jc w:val="center"/>
              <w:rPr>
                <w:rFonts w:ascii="Arial" w:hAnsi="Arial" w:cs="Arial"/>
                <w:b/>
              </w:rPr>
            </w:pPr>
            <w:r w:rsidRPr="00BF1530">
              <w:rPr>
                <w:rFonts w:ascii="Arial" w:hAnsi="Arial" w:cs="Arial"/>
                <w:b/>
              </w:rPr>
              <w:t>REQUISITOS</w:t>
            </w:r>
          </w:p>
          <w:p w:rsidR="00F271FE" w:rsidRPr="00BF1530" w:rsidRDefault="00F271FE" w:rsidP="00F271FE">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F271FE" w:rsidRPr="00BF1530" w:rsidRDefault="00F271FE" w:rsidP="00F271FE">
            <w:pPr>
              <w:jc w:val="center"/>
              <w:rPr>
                <w:rFonts w:ascii="Arial" w:hAnsi="Arial" w:cs="Arial"/>
                <w:b/>
              </w:rPr>
            </w:pPr>
            <w:r w:rsidRPr="00BF1530">
              <w:rPr>
                <w:rFonts w:ascii="Arial" w:hAnsi="Arial" w:cs="Arial"/>
                <w:b/>
              </w:rPr>
              <w:t>DETALLE</w:t>
            </w:r>
          </w:p>
        </w:tc>
      </w:tr>
      <w:tr w:rsidR="00F271FE" w:rsidRPr="00BF1530" w:rsidTr="00F271FE">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Formación General</w:t>
            </w:r>
          </w:p>
        </w:tc>
        <w:tc>
          <w:tcPr>
            <w:tcW w:w="6685" w:type="dxa"/>
          </w:tcPr>
          <w:p w:rsidR="00F271FE" w:rsidRPr="00BF1530" w:rsidRDefault="00F271FE" w:rsidP="00F271F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F271FE" w:rsidRPr="00F271FE" w:rsidRDefault="00F271FE" w:rsidP="00F271F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tc>
      </w:tr>
      <w:tr w:rsidR="00F271FE" w:rsidRPr="00BF1530" w:rsidTr="00F271FE">
        <w:trPr>
          <w:trHeight w:val="756"/>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Experiencia Laboral</w:t>
            </w:r>
          </w:p>
        </w:tc>
        <w:tc>
          <w:tcPr>
            <w:tcW w:w="6685" w:type="dxa"/>
          </w:tcPr>
          <w:p w:rsidR="00F271FE" w:rsidRPr="00BF1530" w:rsidRDefault="00F271FE" w:rsidP="00F271FE">
            <w:pPr>
              <w:ind w:left="346"/>
              <w:jc w:val="both"/>
              <w:rPr>
                <w:rFonts w:ascii="Arial" w:hAnsi="Arial" w:cs="Arial"/>
                <w:b/>
                <w:lang w:eastAsia="es-ES"/>
              </w:rPr>
            </w:pPr>
            <w:r w:rsidRPr="00BF1530">
              <w:rPr>
                <w:rFonts w:ascii="Arial" w:hAnsi="Arial" w:cs="Arial"/>
                <w:b/>
                <w:lang w:val="es-MX"/>
              </w:rPr>
              <w:t>EXPERIENCIA GENERAL:</w:t>
            </w:r>
          </w:p>
          <w:p w:rsidR="00F271FE" w:rsidRPr="00BF1530" w:rsidRDefault="00F271FE" w:rsidP="00F271F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dos</w:t>
            </w:r>
            <w:r w:rsidRPr="00F65B82">
              <w:rPr>
                <w:rFonts w:ascii="Arial" w:hAnsi="Arial" w:cs="Arial"/>
                <w:lang w:val="es-MX"/>
              </w:rPr>
              <w:t xml:space="preserve"> (0</w:t>
            </w:r>
            <w:r>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p>
          <w:p w:rsidR="00F271FE" w:rsidRPr="00BF1530" w:rsidRDefault="00F271FE" w:rsidP="00F271FE">
            <w:pPr>
              <w:ind w:left="343"/>
              <w:jc w:val="both"/>
              <w:rPr>
                <w:rFonts w:ascii="Arial" w:hAnsi="Arial" w:cs="Arial"/>
                <w:b/>
                <w:lang w:val="es-MX"/>
              </w:rPr>
            </w:pPr>
            <w:r w:rsidRPr="00BF1530">
              <w:rPr>
                <w:rFonts w:ascii="Arial" w:hAnsi="Arial" w:cs="Arial"/>
                <w:b/>
                <w:lang w:val="es-MX"/>
              </w:rPr>
              <w:t>EXPERIENCIA ESPECÍFICA:</w:t>
            </w:r>
          </w:p>
          <w:p w:rsidR="00F271FE" w:rsidRPr="00F271FE" w:rsidRDefault="00F271FE" w:rsidP="00F271FE">
            <w:pPr>
              <w:numPr>
                <w:ilvl w:val="0"/>
                <w:numId w:val="27"/>
              </w:numPr>
              <w:ind w:left="346" w:hanging="346"/>
              <w:jc w:val="both"/>
              <w:rPr>
                <w:rFonts w:ascii="Arial" w:hAnsi="Arial" w:cs="Arial"/>
              </w:rPr>
            </w:pPr>
            <w:r>
              <w:rPr>
                <w:rFonts w:ascii="Arial" w:hAnsi="Arial" w:cs="Arial"/>
              </w:rPr>
              <w:t>Acreditar un (01) año</w:t>
            </w:r>
            <w:r w:rsidRPr="00F271FE">
              <w:rPr>
                <w:rFonts w:ascii="Arial" w:hAnsi="Arial" w:cs="Arial"/>
              </w:rPr>
              <w:t xml:space="preserve"> de experiencia laboral en el desempeño de funciones afines al cargo convocado, con posterioridad a la obtención del título Profesional, excluyendo el SERUMS</w:t>
            </w:r>
            <w:r w:rsidRPr="00F271FE">
              <w:rPr>
                <w:rFonts w:ascii="Arial" w:hAnsi="Arial" w:cs="Arial"/>
                <w:b/>
                <w:bCs/>
              </w:rPr>
              <w:t xml:space="preserve"> (Indispensable).</w:t>
            </w:r>
          </w:p>
          <w:p w:rsidR="00F271FE" w:rsidRPr="00BF1530" w:rsidRDefault="00F271FE" w:rsidP="00F271FE">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F271FE" w:rsidRPr="00BF1530" w:rsidRDefault="00F271FE" w:rsidP="00F271F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F271FE" w:rsidRPr="00BF1530" w:rsidRDefault="00F271FE" w:rsidP="00F271FE">
            <w:pPr>
              <w:suppressAutoHyphens w:val="0"/>
              <w:ind w:left="343"/>
              <w:jc w:val="both"/>
              <w:rPr>
                <w:rFonts w:ascii="Arial" w:hAnsi="Arial" w:cs="Arial"/>
                <w:lang w:val="es-MX"/>
              </w:rPr>
            </w:pPr>
          </w:p>
          <w:p w:rsidR="00F271FE" w:rsidRPr="00BF1530" w:rsidRDefault="00F271FE" w:rsidP="00F271FE">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71FE" w:rsidRPr="00BF1530" w:rsidRDefault="00F271FE" w:rsidP="00F271FE">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F271FE" w:rsidRPr="00BF1530" w:rsidTr="00F271FE">
        <w:trPr>
          <w:trHeight w:val="345"/>
        </w:trPr>
        <w:tc>
          <w:tcPr>
            <w:tcW w:w="2340" w:type="dxa"/>
            <w:vAlign w:val="center"/>
          </w:tcPr>
          <w:p w:rsidR="00F271FE" w:rsidRPr="00CD7F34" w:rsidRDefault="00F271FE" w:rsidP="00F271FE">
            <w:pPr>
              <w:jc w:val="center"/>
              <w:rPr>
                <w:rFonts w:ascii="Arial" w:hAnsi="Arial" w:cs="Arial"/>
                <w:b/>
              </w:rPr>
            </w:pPr>
            <w:r w:rsidRPr="00CD7F34">
              <w:rPr>
                <w:rFonts w:ascii="Arial" w:hAnsi="Arial" w:cs="Arial"/>
                <w:b/>
              </w:rPr>
              <w:t>Capacitación</w:t>
            </w:r>
          </w:p>
        </w:tc>
        <w:tc>
          <w:tcPr>
            <w:tcW w:w="6685" w:type="dxa"/>
          </w:tcPr>
          <w:p w:rsidR="00F271FE" w:rsidRPr="00CD7F34" w:rsidRDefault="00F271FE" w:rsidP="00F271FE">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rPr>
              <w:t>Acreditar capacitación y/o actividades de actualización afines a</w:t>
            </w:r>
            <w:r w:rsidR="003A12AA" w:rsidRPr="00CD7F34">
              <w:rPr>
                <w:rFonts w:ascii="Arial" w:hAnsi="Arial" w:cs="Arial"/>
              </w:rPr>
              <w:t>l cargo convocado</w:t>
            </w:r>
            <w:r w:rsidRPr="00CD7F34">
              <w:rPr>
                <w:rFonts w:ascii="Arial" w:hAnsi="Arial" w:cs="Arial"/>
              </w:rPr>
              <w:t xml:space="preserve">, como mínimo de 51 horas (03 créditos, a partir del año 2013 a la fecha </w:t>
            </w:r>
            <w:r w:rsidRPr="00CD7F34">
              <w:rPr>
                <w:rFonts w:ascii="Arial" w:hAnsi="Arial" w:cs="Arial"/>
                <w:b/>
                <w:bCs/>
              </w:rPr>
              <w:t>(Indispensable).</w:t>
            </w:r>
          </w:p>
          <w:p w:rsidR="00F271FE" w:rsidRPr="00CD7F34" w:rsidRDefault="00F271FE" w:rsidP="00CD7F3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 xml:space="preserve">Acreditar capacitación en </w:t>
            </w:r>
            <w:r w:rsidR="00E91B4A" w:rsidRPr="00CD7F34">
              <w:rPr>
                <w:rFonts w:ascii="Arial" w:hAnsi="Arial" w:cs="Arial"/>
                <w:bCs/>
              </w:rPr>
              <w:t xml:space="preserve">atención primaria </w:t>
            </w:r>
            <w:r w:rsidR="00E91B4A" w:rsidRPr="00CD7F34">
              <w:rPr>
                <w:rFonts w:ascii="Arial" w:hAnsi="Arial" w:cs="Arial"/>
                <w:b/>
                <w:bCs/>
              </w:rPr>
              <w:t>(Indispensable).</w:t>
            </w:r>
          </w:p>
        </w:tc>
      </w:tr>
      <w:tr w:rsidR="00F271FE" w:rsidRPr="00BF1530" w:rsidTr="00F271FE">
        <w:trPr>
          <w:trHeight w:val="308"/>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F271FE" w:rsidRPr="00BF1530" w:rsidRDefault="00F271FE" w:rsidP="00F271F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F271FE" w:rsidRPr="00BF1530" w:rsidRDefault="00F271FE" w:rsidP="00F271F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F271FE" w:rsidRPr="00BF1530" w:rsidTr="00F271FE">
        <w:trPr>
          <w:trHeight w:val="308"/>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lastRenderedPageBreak/>
              <w:t>Habilidades o Competencias</w:t>
            </w:r>
          </w:p>
        </w:tc>
        <w:tc>
          <w:tcPr>
            <w:tcW w:w="6685" w:type="dxa"/>
          </w:tcPr>
          <w:p w:rsidR="00F271FE" w:rsidRPr="00BF1530" w:rsidRDefault="00F271FE" w:rsidP="00F271FE">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F271FE" w:rsidRPr="00BF1530" w:rsidRDefault="00F271FE" w:rsidP="00F271FE">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F271FE" w:rsidRPr="00BF1530" w:rsidTr="00F271FE">
        <w:trPr>
          <w:trHeight w:val="307"/>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Motivo de Contratación</w:t>
            </w:r>
          </w:p>
        </w:tc>
        <w:tc>
          <w:tcPr>
            <w:tcW w:w="6685" w:type="dxa"/>
          </w:tcPr>
          <w:p w:rsidR="00F271FE" w:rsidRPr="00BF1530" w:rsidRDefault="001639F7" w:rsidP="00F271FE">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4516</w:t>
            </w:r>
            <w:r w:rsidR="00F271FE">
              <w:rPr>
                <w:rFonts w:ascii="Arial" w:hAnsi="Arial" w:cs="Arial"/>
                <w:lang w:val="es-MX"/>
              </w:rPr>
              <w:t>-GCGP-ESSALUD-2018.</w:t>
            </w:r>
          </w:p>
        </w:tc>
      </w:tr>
    </w:tbl>
    <w:p w:rsidR="00F271FE" w:rsidRPr="00F271FE" w:rsidRDefault="00F271FE" w:rsidP="00F271FE">
      <w:pPr>
        <w:jc w:val="both"/>
        <w:rPr>
          <w:rFonts w:ascii="Arial" w:hAnsi="Arial" w:cs="Arial"/>
          <w:b/>
          <w:color w:val="000000"/>
          <w:sz w:val="16"/>
          <w:szCs w:val="16"/>
        </w:rPr>
      </w:pPr>
    </w:p>
    <w:p w:rsidR="00F271FE" w:rsidRPr="00F271FE" w:rsidRDefault="00F271FE" w:rsidP="00F271FE">
      <w:pPr>
        <w:rPr>
          <w:rFonts w:ascii="Arial" w:hAnsi="Arial" w:cs="Arial"/>
          <w:b/>
          <w:color w:val="000000"/>
          <w:sz w:val="16"/>
          <w:szCs w:val="16"/>
        </w:rPr>
      </w:pPr>
      <w:r w:rsidRPr="00F271FE">
        <w:rPr>
          <w:rFonts w:ascii="Arial" w:hAnsi="Arial" w:cs="Arial"/>
          <w:b/>
        </w:rPr>
        <w:t xml:space="preserve">        </w:t>
      </w:r>
    </w:p>
    <w:p w:rsidR="00F271FE" w:rsidRPr="00F271FE" w:rsidRDefault="00F271FE" w:rsidP="00F271FE">
      <w:pPr>
        <w:ind w:left="360" w:firstLine="45"/>
        <w:jc w:val="both"/>
        <w:rPr>
          <w:rFonts w:ascii="Arial" w:hAnsi="Arial" w:cs="Arial"/>
          <w:b/>
          <w:color w:val="000000"/>
          <w:sz w:val="16"/>
          <w:szCs w:val="16"/>
        </w:rPr>
      </w:pPr>
      <w:r w:rsidRPr="00F271FE">
        <w:rPr>
          <w:rFonts w:ascii="Arial" w:hAnsi="Arial" w:cs="Arial"/>
          <w:b/>
          <w:color w:val="000000"/>
          <w:sz w:val="16"/>
          <w:szCs w:val="16"/>
        </w:rPr>
        <w:t xml:space="preserve"> (*) La acreditación implica presentar copia de los documentos </w:t>
      </w:r>
      <w:proofErr w:type="spellStart"/>
      <w:r w:rsidRPr="00F271FE">
        <w:rPr>
          <w:rFonts w:ascii="Arial" w:hAnsi="Arial" w:cs="Arial"/>
          <w:b/>
          <w:color w:val="000000"/>
          <w:sz w:val="16"/>
          <w:szCs w:val="16"/>
        </w:rPr>
        <w:t>sustentatorios</w:t>
      </w:r>
      <w:proofErr w:type="spellEnd"/>
      <w:r w:rsidRPr="00F271FE">
        <w:rPr>
          <w:rFonts w:ascii="Arial" w:hAnsi="Arial" w:cs="Arial"/>
          <w:b/>
          <w:color w:val="000000"/>
          <w:sz w:val="16"/>
          <w:szCs w:val="16"/>
        </w:rPr>
        <w:t>. Los postulantes que no lo hagan serán descalificados. Los documentos presentados no serán devueltos. Para la contratación del postulante</w:t>
      </w:r>
      <w:r w:rsidRPr="00F271FE">
        <w:rPr>
          <w:rFonts w:ascii="Arial" w:hAnsi="Arial" w:cs="Arial"/>
          <w:b/>
          <w:sz w:val="16"/>
          <w:szCs w:val="16"/>
        </w:rPr>
        <w:t xml:space="preserve"> seleccionado, éste presentará la documentación original </w:t>
      </w:r>
      <w:proofErr w:type="spellStart"/>
      <w:r w:rsidRPr="00F271FE">
        <w:rPr>
          <w:rFonts w:ascii="Arial" w:hAnsi="Arial" w:cs="Arial"/>
          <w:b/>
          <w:sz w:val="16"/>
          <w:szCs w:val="16"/>
        </w:rPr>
        <w:t>sustentatoria</w:t>
      </w:r>
      <w:proofErr w:type="spellEnd"/>
      <w:r w:rsidRPr="00F271FE">
        <w:rPr>
          <w:rFonts w:ascii="Arial" w:hAnsi="Arial" w:cs="Arial"/>
          <w:b/>
          <w:sz w:val="16"/>
          <w:szCs w:val="16"/>
        </w:rPr>
        <w:t xml:space="preserve">. El postulante seleccionado podrá ser incorporado y/o desplazado a otra dependencia, de </w:t>
      </w:r>
      <w:r w:rsidRPr="00F271FE">
        <w:rPr>
          <w:rFonts w:ascii="Arial" w:hAnsi="Arial" w:cs="Arial"/>
          <w:b/>
          <w:color w:val="000000"/>
          <w:sz w:val="16"/>
          <w:szCs w:val="16"/>
        </w:rPr>
        <w:t xml:space="preserve">acuerdo a las necesidades del servicio. </w:t>
      </w:r>
    </w:p>
    <w:p w:rsidR="00F271FE" w:rsidRPr="00BF1530" w:rsidRDefault="00F271FE" w:rsidP="00E91B4A">
      <w:pPr>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B3170F" w:rsidRPr="005E6A30" w:rsidRDefault="00B3170F" w:rsidP="00B3170F">
      <w:pPr>
        <w:ind w:left="360"/>
        <w:jc w:val="both"/>
        <w:rPr>
          <w:b/>
        </w:rPr>
      </w:pPr>
    </w:p>
    <w:p w:rsidR="00B3170F" w:rsidRDefault="00B3170F" w:rsidP="00B3170F">
      <w:pPr>
        <w:ind w:left="360"/>
        <w:jc w:val="both"/>
        <w:rPr>
          <w:rFonts w:ascii="Arial" w:hAnsi="Arial" w:cs="Arial"/>
          <w:b/>
        </w:rPr>
      </w:pPr>
      <w:r>
        <w:rPr>
          <w:rFonts w:ascii="Arial" w:hAnsi="Arial" w:cs="Arial"/>
          <w:b/>
        </w:rPr>
        <w:t>MÉDICO (P1ME-001)</w:t>
      </w:r>
    </w:p>
    <w:p w:rsidR="00B3170F" w:rsidRPr="00B3170F" w:rsidRDefault="00B3170F" w:rsidP="00B3170F">
      <w:pPr>
        <w:ind w:firstLine="360"/>
        <w:jc w:val="both"/>
        <w:rPr>
          <w:rFonts w:ascii="Arial" w:hAnsi="Arial" w:cs="Arial"/>
        </w:rPr>
      </w:pPr>
      <w:r w:rsidRPr="00B3170F">
        <w:rPr>
          <w:rFonts w:ascii="Arial" w:hAnsi="Arial" w:cs="Arial"/>
        </w:rPr>
        <w:t>Principales funciones a desarrollar:</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Cumplir con las normas institucionales dirigidas a las actividades del Sistema de Referencia y </w:t>
      </w:r>
      <w:proofErr w:type="spellStart"/>
      <w:r w:rsidRPr="00B3170F">
        <w:rPr>
          <w:b w:val="0"/>
          <w:sz w:val="20"/>
          <w:szCs w:val="20"/>
        </w:rPr>
        <w:t>Contrarreferencias</w:t>
      </w:r>
      <w:proofErr w:type="spellEnd"/>
      <w:r w:rsidRPr="00B3170F">
        <w:rPr>
          <w:b w:val="0"/>
          <w:sz w:val="20"/>
          <w:szCs w:val="20"/>
        </w:rPr>
        <w:t>.</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Evaluación, aprobación, observación y reporte periódico de las referencias remitidas por los centros asistenciales de salud de primer nivel al Hospital II a través del Sistema de Referencias y </w:t>
      </w:r>
      <w:proofErr w:type="spellStart"/>
      <w:r w:rsidRPr="00B3170F">
        <w:rPr>
          <w:b w:val="0"/>
          <w:sz w:val="20"/>
          <w:szCs w:val="20"/>
        </w:rPr>
        <w:t>Contrarreferencias</w:t>
      </w:r>
      <w:proofErr w:type="spellEnd"/>
      <w:r w:rsidRPr="00B3170F">
        <w:rPr>
          <w:b w:val="0"/>
          <w:sz w:val="20"/>
          <w:szCs w:val="20"/>
        </w:rPr>
        <w:t xml:space="preserve"> (o reporte manual implementado).</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Gestionar, en coordinación con el médico tratante y/o jefe de servicio, el levantamiento de las observaciones realizadas por los centros hospitalarios de mayor complejidad.</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Evaluar y prorrogar, cuando corresponda, las referencias remitidas por los centros asistenciales de salud del primer nivel hacia el Hospital II.</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Evaluación, coordinación y reporte periódico de las </w:t>
      </w:r>
      <w:proofErr w:type="spellStart"/>
      <w:r w:rsidRPr="00B3170F">
        <w:rPr>
          <w:b w:val="0"/>
          <w:sz w:val="20"/>
          <w:szCs w:val="20"/>
        </w:rPr>
        <w:t>contrarreferencias</w:t>
      </w:r>
      <w:proofErr w:type="spellEnd"/>
      <w:r w:rsidRPr="00B3170F">
        <w:rPr>
          <w:b w:val="0"/>
          <w:sz w:val="20"/>
          <w:szCs w:val="20"/>
        </w:rPr>
        <w:t xml:space="preserve"> que ingresan al hospital de mayor complejidad de la Red Asistencial </w:t>
      </w:r>
      <w:r w:rsidR="001D0387" w:rsidRPr="00B3170F">
        <w:rPr>
          <w:b w:val="0"/>
          <w:sz w:val="20"/>
          <w:szCs w:val="20"/>
        </w:rPr>
        <w:t>Huánuco</w:t>
      </w:r>
      <w:r w:rsidRPr="00B3170F">
        <w:rPr>
          <w:b w:val="0"/>
          <w:sz w:val="20"/>
          <w:szCs w:val="20"/>
        </w:rPr>
        <w:t>.</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Coordinar las </w:t>
      </w:r>
      <w:proofErr w:type="spellStart"/>
      <w:r w:rsidRPr="00B3170F">
        <w:rPr>
          <w:b w:val="0"/>
          <w:sz w:val="20"/>
          <w:szCs w:val="20"/>
        </w:rPr>
        <w:t>contrarreferencias</w:t>
      </w:r>
      <w:proofErr w:type="spellEnd"/>
      <w:r w:rsidRPr="00B3170F">
        <w:rPr>
          <w:b w:val="0"/>
          <w:sz w:val="20"/>
          <w:szCs w:val="20"/>
        </w:rPr>
        <w:t xml:space="preserve"> administrativas, farmacológicas y otros entre los establecimientos de mayor y menor complejidad a nivel de red y entre redes.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Evaluación y validación de los servicios brindados a los asegurados a través de los intercambios prestacionales con instituciones prestadoras de salud.</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Integrar los comités de gestión orientadas a la mejora de los procesos asistenciales y administrativos de la Unidad de Admisión, Archivos Médicos, Referencias y </w:t>
      </w:r>
      <w:proofErr w:type="spellStart"/>
      <w:r w:rsidRPr="00B3170F">
        <w:rPr>
          <w:b w:val="0"/>
          <w:sz w:val="20"/>
          <w:szCs w:val="20"/>
        </w:rPr>
        <w:t>Contrarreferencias</w:t>
      </w:r>
      <w:proofErr w:type="spellEnd"/>
      <w:r w:rsidRPr="00B3170F">
        <w:rPr>
          <w:b w:val="0"/>
          <w:sz w:val="20"/>
          <w:szCs w:val="20"/>
        </w:rPr>
        <w:t>.</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Participar en reuniones de coordinación y comisiones para la atención de los temas de su competencia y cuando lo disponga el jefe inmediato.</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Proponer y sustentar planes o acciones de mejora en los procesos asistenciales y/o administrativo de la Unidad.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Investigar e innovar permanentemente las técnicas y procedimientos relacionados al campo de su especialidad.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Aplicar las normas y medidas de Bioseguridad y de Seguridad y Salud en el Trabajo en el ámbito de responsabilidad.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Participar en la implementación del sistema de control interno y la Gestión de Riesgos que correspondan en el ámbito de sus funciones e informar su cumplimiento.</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Respetar y hacer respetar los derechos del asegurado, en el marco de la política de humanización de la atención de salud y las normas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Cumplir con los principios y deberes establecidos en el Código de Ética del Personal del Seguro Social de Salud (ESSALUD), así como no incurrir en las prohibiciones contenidas en él.</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Mantener informado al jefe inmediato sobre las actividades que desarrolla.</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Registrar las actividades realizadas en los sistemas de información institucional y emitir informes de su ejecución, cumpliendo estrictamente las disposiciones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Velar por la seguridad, mantenimiento y operatividad de los bienes asignados para el cumplimiento de sus labores.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Realizar otras funciones que le asigne el jefe inmediato, el ámbito de su competencia.</w:t>
      </w:r>
    </w:p>
    <w:p w:rsidR="00B3170F" w:rsidRPr="005E6A30" w:rsidRDefault="00B3170F" w:rsidP="00B3170F">
      <w:pPr>
        <w:jc w:val="both"/>
        <w:rPr>
          <w:b/>
        </w:rPr>
      </w:pPr>
    </w:p>
    <w:p w:rsidR="004537BE" w:rsidRDefault="007D5BE5" w:rsidP="00880361">
      <w:pPr>
        <w:ind w:left="360"/>
        <w:jc w:val="both"/>
        <w:rPr>
          <w:rFonts w:ascii="Arial" w:hAnsi="Arial" w:cs="Arial"/>
          <w:b/>
        </w:rPr>
      </w:pPr>
      <w:r>
        <w:rPr>
          <w:rFonts w:ascii="Arial" w:hAnsi="Arial" w:cs="Arial"/>
          <w:b/>
        </w:rPr>
        <w:t xml:space="preserve">MÉDICO </w:t>
      </w:r>
      <w:r w:rsidR="0073416F">
        <w:rPr>
          <w:rFonts w:ascii="Arial" w:hAnsi="Arial" w:cs="Arial"/>
          <w:b/>
        </w:rPr>
        <w:t>(P1ME</w:t>
      </w:r>
      <w:r w:rsidR="00B3170F">
        <w:rPr>
          <w:rFonts w:ascii="Arial" w:hAnsi="Arial" w:cs="Arial"/>
          <w:b/>
        </w:rPr>
        <w:t>-002 y P1ME-003</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lastRenderedPageBreak/>
        <w:t>Conducir el equipo interdisciplinario de salud en el diseño, ejecución, seguimiento y control de los procesos de atención asistencial, en el ámbito de su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B3170F">
      <w:pPr>
        <w:pStyle w:val="Sangradetextonormal"/>
        <w:numPr>
          <w:ilvl w:val="0"/>
          <w:numId w:val="25"/>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3170F">
      <w:pPr>
        <w:pStyle w:val="Sangradetextonormal"/>
        <w:numPr>
          <w:ilvl w:val="0"/>
          <w:numId w:val="25"/>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6478B6" w:rsidRPr="006478B6" w:rsidRDefault="00B531F1" w:rsidP="00B3170F">
      <w:pPr>
        <w:pStyle w:val="Sangradetextonormal"/>
        <w:numPr>
          <w:ilvl w:val="0"/>
          <w:numId w:val="25"/>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B3170F" w:rsidRPr="00B3170F" w:rsidRDefault="00B3170F" w:rsidP="00B3170F">
      <w:pPr>
        <w:jc w:val="both"/>
        <w:rPr>
          <w:rFonts w:ascii="Arial" w:hAnsi="Arial" w:cs="Arial"/>
          <w:b/>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lastRenderedPageBreak/>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 xml:space="preserve">DICO </w:t>
      </w:r>
      <w:r w:rsidR="00DE7D72" w:rsidRPr="00D53141">
        <w:rPr>
          <w:rFonts w:ascii="Arial" w:hAnsi="Arial" w:cs="Arial"/>
          <w:b/>
          <w:sz w:val="20"/>
          <w:szCs w:val="20"/>
          <w:lang w:val="pt-BR"/>
        </w:rPr>
        <w:t>(</w:t>
      </w:r>
      <w:r w:rsidR="0073416F">
        <w:rPr>
          <w:rFonts w:ascii="Arial" w:hAnsi="Arial" w:cs="Arial"/>
          <w:b/>
          <w:color w:val="000000"/>
          <w:sz w:val="20"/>
          <w:szCs w:val="20"/>
          <w:lang w:val="es-PE"/>
        </w:rPr>
        <w:t>P1ME</w:t>
      </w:r>
      <w:r w:rsidR="00DE7D72" w:rsidRPr="00D53141">
        <w:rPr>
          <w:rFonts w:ascii="Arial" w:hAnsi="Arial" w:cs="Arial"/>
          <w:b/>
          <w:color w:val="000000"/>
          <w:sz w:val="20"/>
          <w:szCs w:val="20"/>
          <w:lang w:val="es-PE"/>
        </w:rPr>
        <w:t>-001</w:t>
      </w:r>
      <w:r w:rsidR="00487670">
        <w:rPr>
          <w:rFonts w:ascii="Arial" w:hAnsi="Arial" w:cs="Arial"/>
          <w:b/>
          <w:color w:val="000000"/>
          <w:sz w:val="20"/>
          <w:szCs w:val="20"/>
          <w:lang w:val="es-PE"/>
        </w:rPr>
        <w:t>, P1ME-002 y P1ME-003</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F271FE">
        <w:trPr>
          <w:trHeight w:val="216"/>
        </w:trPr>
        <w:tc>
          <w:tcPr>
            <w:tcW w:w="6095" w:type="dxa"/>
          </w:tcPr>
          <w:p w:rsidR="005E3B5C" w:rsidRPr="00D53141" w:rsidRDefault="005E3B5C" w:rsidP="00F271FE">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F271FE">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F271FE">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F271FE">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F271FE">
        <w:trPr>
          <w:trHeight w:val="450"/>
        </w:trPr>
        <w:tc>
          <w:tcPr>
            <w:tcW w:w="6095" w:type="dxa"/>
          </w:tcPr>
          <w:p w:rsidR="005E3B5C" w:rsidRPr="00D53141" w:rsidRDefault="005E3B5C" w:rsidP="00F271FE">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F271FE">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F271FE">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F271FE">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CD7F34" w:rsidRDefault="00CD7F34" w:rsidP="00CD7F34">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D7F34" w:rsidTr="00E14CA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b/>
                <w:sz w:val="18"/>
                <w:szCs w:val="18"/>
                <w:lang w:val="es-MX"/>
              </w:rPr>
            </w:pPr>
            <w:r>
              <w:rPr>
                <w:rFonts w:ascii="Arial" w:hAnsi="Arial" w:cs="Arial"/>
                <w:b/>
                <w:sz w:val="18"/>
                <w:szCs w:val="18"/>
                <w:lang w:val="es-MX"/>
              </w:rPr>
              <w:t>AREA RESPONSABLE</w:t>
            </w:r>
          </w:p>
        </w:tc>
      </w:tr>
      <w:tr w:rsidR="00CD7F34" w:rsidTr="00E14CA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05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SGGI - URRHH</w:t>
            </w:r>
          </w:p>
        </w:tc>
      </w:tr>
      <w:tr w:rsidR="00CD7F34" w:rsidTr="00E14CA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kern w:val="2"/>
                <w:sz w:val="18"/>
                <w:szCs w:val="18"/>
                <w:lang w:val="es-MX"/>
              </w:rPr>
              <w:t>SGGI – GCTIC</w:t>
            </w:r>
          </w:p>
        </w:tc>
      </w:tr>
      <w:tr w:rsidR="00CD7F34" w:rsidRPr="00CD7F34" w:rsidTr="00E14CA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both"/>
              <w:rPr>
                <w:rFonts w:ascii="Arial" w:hAnsi="Arial" w:cs="Arial"/>
                <w:sz w:val="18"/>
                <w:szCs w:val="18"/>
                <w:lang w:val="es-MX"/>
              </w:rPr>
            </w:pP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 20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SGGI-GCTIC</w:t>
            </w:r>
          </w:p>
        </w:tc>
      </w:tr>
      <w:tr w:rsidR="00CD7F34" w:rsidRPr="00CD7F34" w:rsidTr="00E14CA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3"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23 al 26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SGGI-GCTIC</w:t>
            </w:r>
          </w:p>
        </w:tc>
      </w:tr>
      <w:tr w:rsidR="00CD7F34" w:rsidRPr="00CD7F34" w:rsidTr="00E14CA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both"/>
              <w:rPr>
                <w:rFonts w:ascii="Arial" w:hAnsi="Arial" w:cs="Arial"/>
                <w:sz w:val="18"/>
                <w:szCs w:val="18"/>
                <w:lang w:val="es-MX"/>
              </w:rPr>
            </w:pP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D7F34" w:rsidRPr="00CD7F34" w:rsidRDefault="00CD7F34" w:rsidP="00E14CAE">
            <w:pPr>
              <w:rPr>
                <w:rFonts w:ascii="Arial" w:hAnsi="Arial" w:cs="Arial"/>
                <w:sz w:val="10"/>
                <w:szCs w:val="10"/>
                <w:lang w:val="es-MX"/>
              </w:rPr>
            </w:pP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27 de noviembre del 2018 </w:t>
            </w: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0"/>
                <w:szCs w:val="10"/>
                <w:lang w:val="es-MX"/>
              </w:rPr>
            </w:pPr>
            <w:r w:rsidRPr="00CD7F34">
              <w:rPr>
                <w:rFonts w:ascii="Arial" w:hAnsi="Arial" w:cs="Arial"/>
                <w:sz w:val="18"/>
                <w:szCs w:val="18"/>
                <w:lang w:val="es-MX"/>
              </w:rPr>
              <w:t xml:space="preserve">28 de noviembre del 2018 a las 09:00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28 de noviembre del 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30 de noviembre del 2018 a las 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lastRenderedPageBreak/>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D7F34">
                <w:rPr>
                  <w:rFonts w:ascii="Arial" w:hAnsi="Arial" w:cs="Arial"/>
                  <w:sz w:val="18"/>
                  <w:szCs w:val="18"/>
                  <w:lang w:val="es-MX"/>
                </w:rPr>
                <w:t>la Evaluación</w:t>
              </w:r>
            </w:smartTag>
            <w:r w:rsidRPr="00CD7F3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30 de noviembre del 2018</w:t>
            </w: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 – 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03 de diciembre del 2018</w:t>
            </w:r>
          </w:p>
          <w:p w:rsidR="00CD7F34" w:rsidRPr="00CD7F34" w:rsidRDefault="00CD7F34" w:rsidP="00E14CAE">
            <w:pPr>
              <w:jc w:val="center"/>
              <w:rPr>
                <w:rFonts w:ascii="Arial" w:hAnsi="Arial" w:cs="Arial"/>
                <w:color w:val="000000"/>
                <w:sz w:val="18"/>
                <w:szCs w:val="18"/>
              </w:rPr>
            </w:pPr>
            <w:r w:rsidRPr="00CD7F34">
              <w:rPr>
                <w:rFonts w:ascii="Arial" w:hAnsi="Arial" w:cs="Arial"/>
                <w:sz w:val="18"/>
                <w:szCs w:val="18"/>
              </w:rPr>
              <w:t xml:space="preserve">de 08:00 a 14:00 horas,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A partir del 03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04 de diciembre del 2018</w:t>
            </w: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05 de diciembre del 2018 a las 09:00 horas,</w:t>
            </w:r>
            <w:r w:rsidRPr="00CD7F34">
              <w:rPr>
                <w:rFonts w:ascii="Arial" w:hAnsi="Arial" w:cs="Arial"/>
                <w:sz w:val="18"/>
                <w:szCs w:val="18"/>
              </w:rPr>
              <w:t xml:space="preserve">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05 de diciembre del 2018 a las 11:00 horas,</w:t>
            </w:r>
            <w:r w:rsidRPr="00CD7F34">
              <w:rPr>
                <w:rFonts w:ascii="Arial" w:hAnsi="Arial" w:cs="Arial"/>
                <w:sz w:val="18"/>
                <w:szCs w:val="18"/>
              </w:rPr>
              <w:t xml:space="preserve">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05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SGGI-URRHH</w:t>
            </w:r>
          </w:p>
        </w:tc>
      </w:tr>
      <w:tr w:rsidR="00CD7F34" w:rsidRPr="00CD7F34" w:rsidTr="00E14CA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suppressAutoHyphens w:val="0"/>
              <w:rPr>
                <w:rFonts w:ascii="Arial" w:hAnsi="Arial" w:cs="Arial"/>
                <w:sz w:val="18"/>
                <w:szCs w:val="18"/>
              </w:rPr>
            </w:pPr>
          </w:p>
        </w:tc>
      </w:tr>
      <w:tr w:rsidR="00CD7F34" w:rsidRPr="00CD7F34" w:rsidTr="00E14CA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center"/>
              <w:rPr>
                <w:rFonts w:ascii="Arial" w:hAnsi="Arial" w:cs="Arial"/>
                <w:b/>
                <w:sz w:val="18"/>
                <w:szCs w:val="18"/>
                <w:lang w:val="es-MX"/>
              </w:rPr>
            </w:pPr>
          </w:p>
        </w:tc>
      </w:tr>
      <w:tr w:rsidR="00CD7F34" w:rsidRPr="00CD7F34" w:rsidTr="00E14CA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A partir del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URRHH</w:t>
            </w:r>
          </w:p>
        </w:tc>
      </w:tr>
    </w:tbl>
    <w:p w:rsidR="00CD7F34" w:rsidRDefault="00CD7F34" w:rsidP="008123CA">
      <w:pPr>
        <w:rPr>
          <w:lang w:val="es-MX"/>
        </w:rPr>
      </w:pPr>
      <w:bookmarkStart w:id="0" w:name="_GoBack"/>
      <w:bookmarkEnd w:id="0"/>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w:t>
      </w:r>
      <w:r w:rsidRPr="00A42B59">
        <w:rPr>
          <w:rFonts w:ascii="Arial" w:hAnsi="Arial" w:cs="Arial"/>
        </w:rPr>
        <w:lastRenderedPageBreak/>
        <w:t xml:space="preserve">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4672BD">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2022B1C"/>
    <w:multiLevelType w:val="hybridMultilevel"/>
    <w:tmpl w:val="3DF436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D21925"/>
    <w:multiLevelType w:val="hybridMultilevel"/>
    <w:tmpl w:val="C09CA1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4"/>
  </w:num>
  <w:num w:numId="3">
    <w:abstractNumId w:val="9"/>
  </w:num>
  <w:num w:numId="4">
    <w:abstractNumId w:val="18"/>
  </w:num>
  <w:num w:numId="5">
    <w:abstractNumId w:val="22"/>
  </w:num>
  <w:num w:numId="6">
    <w:abstractNumId w:val="11"/>
  </w:num>
  <w:num w:numId="7">
    <w:abstractNumId w:val="27"/>
  </w:num>
  <w:num w:numId="8">
    <w:abstractNumId w:val="7"/>
  </w:num>
  <w:num w:numId="9">
    <w:abstractNumId w:val="19"/>
  </w:num>
  <w:num w:numId="10">
    <w:abstractNumId w:val="17"/>
  </w:num>
  <w:num w:numId="11">
    <w:abstractNumId w:val="25"/>
  </w:num>
  <w:num w:numId="12">
    <w:abstractNumId w:val="26"/>
  </w:num>
  <w:num w:numId="13">
    <w:abstractNumId w:val="13"/>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8"/>
  </w:num>
  <w:num w:numId="20">
    <w:abstractNumId w:val="21"/>
  </w:num>
  <w:num w:numId="21">
    <w:abstractNumId w:val="12"/>
  </w:num>
  <w:num w:numId="22">
    <w:abstractNumId w:val="5"/>
  </w:num>
  <w:num w:numId="23">
    <w:abstractNumId w:val="4"/>
  </w:num>
  <w:num w:numId="24">
    <w:abstractNumId w:val="15"/>
  </w:num>
  <w:num w:numId="25">
    <w:abstractNumId w:val="8"/>
  </w:num>
  <w:num w:numId="26">
    <w:abstractNumId w:val="10"/>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47D68"/>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589"/>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6A16"/>
    <w:rsid w:val="00160646"/>
    <w:rsid w:val="0016082A"/>
    <w:rsid w:val="00162379"/>
    <w:rsid w:val="0016281F"/>
    <w:rsid w:val="0016321A"/>
    <w:rsid w:val="001639F7"/>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038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12AA"/>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2BD"/>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0"/>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416F"/>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484F"/>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70F"/>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D7F3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6B18"/>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B4A"/>
    <w:rsid w:val="00E91E01"/>
    <w:rsid w:val="00E93196"/>
    <w:rsid w:val="00E958B4"/>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271FE"/>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E3753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DAFE-E536-40A6-9C2C-304CE9E2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3199</Words>
  <Characters>20703</Characters>
  <Application>Microsoft Office Word</Application>
  <DocSecurity>0</DocSecurity>
  <Lines>172</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23855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75</cp:revision>
  <cp:lastPrinted>2017-05-22T20:24:00Z</cp:lastPrinted>
  <dcterms:created xsi:type="dcterms:W3CDTF">2017-11-21T15:03:00Z</dcterms:created>
  <dcterms:modified xsi:type="dcterms:W3CDTF">2018-11-05T19:34:00Z</dcterms:modified>
</cp:coreProperties>
</file>